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54AB" w:rsidP="1A970887" w:rsidRDefault="6E590084" w14:paraId="7D4B88A9" w14:textId="1F089099">
      <w:pPr>
        <w:spacing w:after="2" w:line="259" w:lineRule="auto"/>
        <w:ind w:left="0" w:right="0" w:firstLine="0"/>
        <w:jc w:val="center"/>
        <w:rPr>
          <w:rFonts w:ascii="Calibri" w:hAnsi="Calibri" w:eastAsia="Calibri" w:cs="Calibri"/>
          <w:b/>
          <w:bCs/>
          <w:color w:val="auto"/>
          <w:sz w:val="40"/>
          <w:szCs w:val="40"/>
        </w:rPr>
      </w:pPr>
      <w:r w:rsidRPr="1A970887">
        <w:rPr>
          <w:rFonts w:ascii="Calibri" w:hAnsi="Calibri" w:eastAsia="Calibri" w:cs="Calibri"/>
          <w:b/>
          <w:bCs/>
          <w:color w:val="auto"/>
          <w:sz w:val="40"/>
          <w:szCs w:val="40"/>
        </w:rPr>
        <w:t xml:space="preserve">IFOW </w:t>
      </w:r>
      <w:r w:rsidRPr="1A970887" w:rsidR="776C5350">
        <w:rPr>
          <w:rFonts w:ascii="Calibri" w:hAnsi="Calibri" w:eastAsia="Calibri" w:cs="Calibri"/>
          <w:b/>
          <w:bCs/>
          <w:color w:val="auto"/>
          <w:sz w:val="40"/>
          <w:szCs w:val="40"/>
        </w:rPr>
        <w:t>Research Ethics Committee DMP Guidance</w:t>
      </w:r>
    </w:p>
    <w:p w:rsidR="1A970887" w:rsidP="1A970887" w:rsidRDefault="1A970887" w14:paraId="0371A0BF" w14:textId="32D3DEEC">
      <w:pPr>
        <w:spacing w:after="2" w:line="259" w:lineRule="auto"/>
        <w:ind w:left="0" w:right="0" w:firstLine="0"/>
        <w:jc w:val="center"/>
        <w:rPr>
          <w:rFonts w:ascii="Calibri" w:hAnsi="Calibri" w:eastAsia="Calibri" w:cs="Calibri"/>
          <w:b/>
          <w:bCs/>
          <w:color w:val="auto"/>
          <w:sz w:val="40"/>
          <w:szCs w:val="40"/>
        </w:rPr>
      </w:pPr>
    </w:p>
    <w:p w:rsidR="1A970887" w:rsidP="1A970887" w:rsidRDefault="1A970887" w14:paraId="5337B8EF" w14:textId="51E87FAF">
      <w:pPr>
        <w:spacing w:after="2" w:line="259" w:lineRule="auto"/>
        <w:ind w:left="0" w:right="0" w:firstLine="0"/>
        <w:jc w:val="both"/>
        <w:rPr>
          <w:rFonts w:ascii="Calibri" w:hAnsi="Calibri" w:eastAsia="Calibri" w:cs="Calibri"/>
          <w:b/>
          <w:bCs/>
          <w:color w:val="auto"/>
        </w:rPr>
      </w:pPr>
    </w:p>
    <w:sdt>
      <w:sdtPr>
        <w:rPr>
          <w:rStyle w:val="Hyperlink"/>
          <w:color w:val="auto"/>
        </w:rPr>
        <w:id w:val="1740142803"/>
        <w:docPartObj>
          <w:docPartGallery w:val="Table of Contents"/>
          <w:docPartUnique/>
        </w:docPartObj>
      </w:sdtPr>
      <w:sdtEndPr>
        <w:rPr>
          <w:rStyle w:val="Hyperlink"/>
          <w:color w:val="auto"/>
        </w:rPr>
      </w:sdtEndPr>
      <w:sdtContent>
        <w:p w:rsidR="1A970887" w:rsidP="1A970887" w:rsidRDefault="1A970887" w14:paraId="5FC86357" w14:textId="31B19983">
          <w:pPr>
            <w:pStyle w:val="TOC1"/>
            <w:tabs>
              <w:tab w:val="right" w:leader="hyphen" w:pos="9015"/>
            </w:tabs>
            <w:rPr>
              <w:rStyle w:val="Hyperlink"/>
              <w:color w:val="auto"/>
            </w:rPr>
          </w:pPr>
          <w:r>
            <w:fldChar w:fldCharType="begin"/>
          </w:r>
          <w:r>
            <w:instrText>TOC \o "1-9" \z \u \h</w:instrText>
          </w:r>
          <w:r>
            <w:fldChar w:fldCharType="separate"/>
          </w:r>
          <w:hyperlink w:anchor="_Toc1232109233">
            <w:r w:rsidRPr="1A970887">
              <w:rPr>
                <w:rStyle w:val="Hyperlink"/>
                <w:color w:val="auto"/>
              </w:rPr>
              <w:t>Introduction</w:t>
            </w:r>
            <w:r>
              <w:tab/>
            </w:r>
            <w:r>
              <w:fldChar w:fldCharType="begin"/>
            </w:r>
            <w:r>
              <w:instrText>PAGEREF _Toc1232109233 \h</w:instrText>
            </w:r>
            <w:r>
              <w:fldChar w:fldCharType="separate"/>
            </w:r>
            <w:r w:rsidRPr="1A970887">
              <w:rPr>
                <w:rStyle w:val="Hyperlink"/>
                <w:color w:val="auto"/>
              </w:rPr>
              <w:t>1</w:t>
            </w:r>
            <w:r>
              <w:fldChar w:fldCharType="end"/>
            </w:r>
          </w:hyperlink>
        </w:p>
        <w:p w:rsidR="1A970887" w:rsidP="1A970887" w:rsidRDefault="1A970887" w14:paraId="2DE49221" w14:textId="73C3CB09">
          <w:pPr>
            <w:pStyle w:val="TOC1"/>
            <w:tabs>
              <w:tab w:val="right" w:leader="hyphen" w:pos="9015"/>
            </w:tabs>
            <w:rPr>
              <w:rStyle w:val="Hyperlink"/>
              <w:color w:val="auto"/>
            </w:rPr>
          </w:pPr>
          <w:hyperlink w:anchor="_Toc2142879289">
            <w:r w:rsidRPr="1A970887">
              <w:rPr>
                <w:rStyle w:val="Hyperlink"/>
                <w:color w:val="auto"/>
              </w:rPr>
              <w:t>Definitions</w:t>
            </w:r>
            <w:r>
              <w:tab/>
            </w:r>
            <w:r>
              <w:fldChar w:fldCharType="begin"/>
            </w:r>
            <w:r>
              <w:instrText>PAGEREF _Toc2142879289 \h</w:instrText>
            </w:r>
            <w:r>
              <w:fldChar w:fldCharType="separate"/>
            </w:r>
            <w:r w:rsidRPr="1A970887">
              <w:rPr>
                <w:rStyle w:val="Hyperlink"/>
                <w:color w:val="auto"/>
              </w:rPr>
              <w:t>1</w:t>
            </w:r>
            <w:r>
              <w:fldChar w:fldCharType="end"/>
            </w:r>
          </w:hyperlink>
        </w:p>
        <w:p w:rsidR="1A970887" w:rsidP="1A970887" w:rsidRDefault="1A970887" w14:paraId="21A5F8A5" w14:textId="497E958C">
          <w:pPr>
            <w:pStyle w:val="TOC1"/>
            <w:tabs>
              <w:tab w:val="right" w:leader="hyphen" w:pos="9015"/>
            </w:tabs>
            <w:rPr>
              <w:rStyle w:val="Hyperlink"/>
              <w:color w:val="auto"/>
            </w:rPr>
          </w:pPr>
          <w:hyperlink w:anchor="_Toc1807390083">
            <w:r w:rsidRPr="1A970887">
              <w:rPr>
                <w:rStyle w:val="Hyperlink"/>
                <w:color w:val="auto"/>
              </w:rPr>
              <w:t>Guidance on completing the DMP</w:t>
            </w:r>
            <w:r>
              <w:tab/>
            </w:r>
            <w:r>
              <w:fldChar w:fldCharType="begin"/>
            </w:r>
            <w:r>
              <w:instrText>PAGEREF _Toc1807390083 \h</w:instrText>
            </w:r>
            <w:r>
              <w:fldChar w:fldCharType="separate"/>
            </w:r>
            <w:r w:rsidRPr="1A970887">
              <w:rPr>
                <w:rStyle w:val="Hyperlink"/>
                <w:color w:val="auto"/>
              </w:rPr>
              <w:t>3</w:t>
            </w:r>
            <w:r>
              <w:fldChar w:fldCharType="end"/>
            </w:r>
          </w:hyperlink>
        </w:p>
        <w:p w:rsidR="1A970887" w:rsidP="1A970887" w:rsidRDefault="1A970887" w14:paraId="7B045742" w14:textId="0C803DD6">
          <w:pPr>
            <w:pStyle w:val="TOC2"/>
            <w:tabs>
              <w:tab w:val="right" w:leader="hyphen" w:pos="9015"/>
            </w:tabs>
            <w:rPr>
              <w:rStyle w:val="Hyperlink"/>
              <w:color w:val="auto"/>
            </w:rPr>
          </w:pPr>
          <w:hyperlink w:anchor="_Toc509281048">
            <w:r w:rsidRPr="1A970887">
              <w:rPr>
                <w:rStyle w:val="Hyperlink"/>
                <w:color w:val="auto"/>
              </w:rPr>
              <w:t>1. DATA COLLECTION &amp; DESCRIPTION</w:t>
            </w:r>
            <w:r>
              <w:tab/>
            </w:r>
            <w:r>
              <w:fldChar w:fldCharType="begin"/>
            </w:r>
            <w:r>
              <w:instrText>PAGEREF _Toc509281048 \h</w:instrText>
            </w:r>
            <w:r>
              <w:fldChar w:fldCharType="separate"/>
            </w:r>
            <w:r w:rsidRPr="1A970887">
              <w:rPr>
                <w:rStyle w:val="Hyperlink"/>
                <w:color w:val="auto"/>
              </w:rPr>
              <w:t>3</w:t>
            </w:r>
            <w:r>
              <w:fldChar w:fldCharType="end"/>
            </w:r>
          </w:hyperlink>
        </w:p>
        <w:p w:rsidR="1A970887" w:rsidP="1A970887" w:rsidRDefault="1A970887" w14:paraId="431D1008" w14:textId="45BA53F6">
          <w:pPr>
            <w:pStyle w:val="TOC2"/>
            <w:tabs>
              <w:tab w:val="right" w:leader="hyphen" w:pos="9015"/>
            </w:tabs>
            <w:rPr>
              <w:rStyle w:val="Hyperlink"/>
              <w:color w:val="auto"/>
            </w:rPr>
          </w:pPr>
          <w:hyperlink w:anchor="_Toc1835354680">
            <w:r w:rsidRPr="1A970887">
              <w:rPr>
                <w:rStyle w:val="Hyperlink"/>
                <w:color w:val="auto"/>
              </w:rPr>
              <w:t>2. PERSONAL &amp; CONFIDENTIAL DATA</w:t>
            </w:r>
            <w:r>
              <w:tab/>
            </w:r>
            <w:r>
              <w:fldChar w:fldCharType="begin"/>
            </w:r>
            <w:r>
              <w:instrText>PAGEREF _Toc1835354680 \h</w:instrText>
            </w:r>
            <w:r>
              <w:fldChar w:fldCharType="separate"/>
            </w:r>
            <w:r w:rsidRPr="1A970887">
              <w:rPr>
                <w:rStyle w:val="Hyperlink"/>
                <w:color w:val="auto"/>
              </w:rPr>
              <w:t>4</w:t>
            </w:r>
            <w:r>
              <w:fldChar w:fldCharType="end"/>
            </w:r>
          </w:hyperlink>
        </w:p>
        <w:p w:rsidR="1A970887" w:rsidP="1A970887" w:rsidRDefault="1A970887" w14:paraId="045537C3" w14:textId="13F9F76D">
          <w:pPr>
            <w:pStyle w:val="TOC2"/>
            <w:tabs>
              <w:tab w:val="right" w:leader="hyphen" w:pos="9015"/>
            </w:tabs>
            <w:rPr>
              <w:rStyle w:val="Hyperlink"/>
              <w:color w:val="auto"/>
            </w:rPr>
          </w:pPr>
          <w:hyperlink w:anchor="_Toc1618292387">
            <w:r w:rsidRPr="1A970887">
              <w:rPr>
                <w:rStyle w:val="Hyperlink"/>
                <w:color w:val="auto"/>
              </w:rPr>
              <w:t>3. LEGAL &amp; ETHICAL CONSIDERATIONS</w:t>
            </w:r>
            <w:r>
              <w:tab/>
            </w:r>
            <w:r>
              <w:fldChar w:fldCharType="begin"/>
            </w:r>
            <w:r>
              <w:instrText>PAGEREF _Toc1618292387 \h</w:instrText>
            </w:r>
            <w:r>
              <w:fldChar w:fldCharType="separate"/>
            </w:r>
            <w:r w:rsidRPr="1A970887">
              <w:rPr>
                <w:rStyle w:val="Hyperlink"/>
                <w:color w:val="auto"/>
              </w:rPr>
              <w:t>4</w:t>
            </w:r>
            <w:r>
              <w:fldChar w:fldCharType="end"/>
            </w:r>
          </w:hyperlink>
        </w:p>
        <w:p w:rsidR="1A970887" w:rsidP="1A970887" w:rsidRDefault="1A970887" w14:paraId="0F2FC0A8" w14:textId="65ABC936">
          <w:pPr>
            <w:pStyle w:val="TOC2"/>
            <w:tabs>
              <w:tab w:val="right" w:leader="hyphen" w:pos="9015"/>
            </w:tabs>
            <w:rPr>
              <w:rStyle w:val="Hyperlink"/>
              <w:color w:val="auto"/>
            </w:rPr>
          </w:pPr>
          <w:hyperlink w:anchor="_Toc2119253479">
            <w:r w:rsidRPr="1A970887">
              <w:rPr>
                <w:rStyle w:val="Hyperlink"/>
                <w:color w:val="auto"/>
              </w:rPr>
              <w:t>4. DATA STORAGE &amp; SECURITY (DURING PROJECT)</w:t>
            </w:r>
            <w:r>
              <w:tab/>
            </w:r>
            <w:r>
              <w:fldChar w:fldCharType="begin"/>
            </w:r>
            <w:r>
              <w:instrText>PAGEREF _Toc2119253479 \h</w:instrText>
            </w:r>
            <w:r>
              <w:fldChar w:fldCharType="separate"/>
            </w:r>
            <w:r w:rsidRPr="1A970887">
              <w:rPr>
                <w:rStyle w:val="Hyperlink"/>
                <w:color w:val="auto"/>
              </w:rPr>
              <w:t>5</w:t>
            </w:r>
            <w:r>
              <w:fldChar w:fldCharType="end"/>
            </w:r>
          </w:hyperlink>
        </w:p>
        <w:p w:rsidR="1A970887" w:rsidP="1A970887" w:rsidRDefault="1A970887" w14:paraId="7ADBD585" w14:textId="7D1E63D6">
          <w:pPr>
            <w:pStyle w:val="TOC2"/>
            <w:tabs>
              <w:tab w:val="right" w:leader="hyphen" w:pos="9015"/>
            </w:tabs>
            <w:rPr>
              <w:rStyle w:val="Hyperlink"/>
              <w:color w:val="auto"/>
            </w:rPr>
          </w:pPr>
          <w:hyperlink w:anchor="_Toc564309599">
            <w:r w:rsidRPr="1A970887">
              <w:rPr>
                <w:rStyle w:val="Hyperlink"/>
                <w:color w:val="auto"/>
              </w:rPr>
              <w:t>5. DATA PRESERVATION &amp; SHARING (AFTER PROJECT)</w:t>
            </w:r>
            <w:r>
              <w:tab/>
            </w:r>
            <w:r>
              <w:fldChar w:fldCharType="begin"/>
            </w:r>
            <w:r>
              <w:instrText>PAGEREF _Toc564309599 \h</w:instrText>
            </w:r>
            <w:r>
              <w:fldChar w:fldCharType="separate"/>
            </w:r>
            <w:r w:rsidRPr="1A970887">
              <w:rPr>
                <w:rStyle w:val="Hyperlink"/>
                <w:color w:val="auto"/>
              </w:rPr>
              <w:t>6</w:t>
            </w:r>
            <w:r>
              <w:fldChar w:fldCharType="end"/>
            </w:r>
          </w:hyperlink>
        </w:p>
        <w:p w:rsidR="1A970887" w:rsidP="1A970887" w:rsidRDefault="1A970887" w14:paraId="52DC7A89" w14:textId="10EA1731">
          <w:pPr>
            <w:pStyle w:val="TOC2"/>
            <w:tabs>
              <w:tab w:val="right" w:leader="hyphen" w:pos="9015"/>
            </w:tabs>
            <w:rPr>
              <w:rStyle w:val="Hyperlink"/>
              <w:color w:val="auto"/>
            </w:rPr>
          </w:pPr>
          <w:hyperlink w:anchor="_Toc699396682">
            <w:r w:rsidRPr="1A970887">
              <w:rPr>
                <w:rStyle w:val="Hyperlink"/>
                <w:color w:val="auto"/>
              </w:rPr>
              <w:t>6. RETENTION AND DISPOSAL</w:t>
            </w:r>
            <w:r>
              <w:tab/>
            </w:r>
            <w:r>
              <w:fldChar w:fldCharType="begin"/>
            </w:r>
            <w:r>
              <w:instrText>PAGEREF _Toc699396682 \h</w:instrText>
            </w:r>
            <w:r>
              <w:fldChar w:fldCharType="separate"/>
            </w:r>
            <w:r w:rsidRPr="1A970887">
              <w:rPr>
                <w:rStyle w:val="Hyperlink"/>
                <w:color w:val="auto"/>
              </w:rPr>
              <w:t>8</w:t>
            </w:r>
            <w:r>
              <w:fldChar w:fldCharType="end"/>
            </w:r>
          </w:hyperlink>
          <w:r>
            <w:fldChar w:fldCharType="end"/>
          </w:r>
        </w:p>
      </w:sdtContent>
    </w:sdt>
    <w:p w:rsidR="1A970887" w:rsidP="1A970887" w:rsidRDefault="1A970887" w14:paraId="72E117A9" w14:textId="08A2C262">
      <w:pPr>
        <w:spacing w:after="2" w:line="259" w:lineRule="auto"/>
        <w:ind w:left="0" w:right="0" w:firstLine="0"/>
        <w:jc w:val="both"/>
        <w:rPr>
          <w:rFonts w:ascii="Calibri" w:hAnsi="Calibri" w:eastAsia="Calibri" w:cs="Calibri"/>
          <w:b/>
          <w:bCs/>
          <w:color w:val="auto"/>
        </w:rPr>
      </w:pPr>
    </w:p>
    <w:p w:rsidR="005054AB" w:rsidP="1A970887" w:rsidRDefault="776C5350" w14:paraId="55C6C4F6" w14:textId="77777777">
      <w:pPr>
        <w:pStyle w:val="Heading1"/>
        <w:rPr>
          <w:rFonts w:ascii="Calibri" w:hAnsi="Calibri" w:eastAsia="Calibri" w:cs="Calibri"/>
          <w:color w:val="auto"/>
          <w:sz w:val="24"/>
        </w:rPr>
      </w:pPr>
      <w:bookmarkStart w:name="_Toc1232109233" w:id="0"/>
      <w:r w:rsidRPr="1A970887">
        <w:rPr>
          <w:color w:val="auto"/>
        </w:rPr>
        <w:t>Introduction</w:t>
      </w:r>
      <w:bookmarkEnd w:id="0"/>
      <w:r w:rsidRPr="1A970887">
        <w:rPr>
          <w:color w:val="auto"/>
        </w:rPr>
        <w:t xml:space="preserve"> </w:t>
      </w:r>
    </w:p>
    <w:p w:rsidR="776C5350" w:rsidP="002A18E7" w:rsidRDefault="776C5350" w14:paraId="01A214E1" w14:textId="7E099DEF">
      <w:pPr>
        <w:spacing w:line="276" w:lineRule="auto"/>
        <w:ind w:left="-5" w:right="70"/>
        <w:jc w:val="both"/>
        <w:rPr>
          <w:rFonts w:ascii="Calibri" w:hAnsi="Calibri" w:eastAsia="Calibri" w:cs="Calibri"/>
          <w:color w:val="auto"/>
          <w:lang w:val="en-US"/>
        </w:rPr>
      </w:pPr>
      <w:r w:rsidRPr="3C29B3E0">
        <w:rPr>
          <w:rFonts w:ascii="Calibri" w:hAnsi="Calibri" w:eastAsia="Calibri" w:cs="Calibri"/>
          <w:color w:val="auto"/>
          <w:lang w:val="en-US"/>
        </w:rPr>
        <w:t xml:space="preserve">This guidance accompanies the </w:t>
      </w:r>
      <w:hyperlink r:id="rId10">
        <w:r w:rsidRPr="3C29B3E0" w:rsidR="16257213">
          <w:rPr>
            <w:rStyle w:val="Hyperlink"/>
            <w:rFonts w:ascii="Calibri" w:hAnsi="Calibri" w:eastAsia="Calibri" w:cs="Calibri"/>
            <w:color w:val="auto"/>
            <w:lang w:val="en-US"/>
          </w:rPr>
          <w:t>IFOW-Data Management Plan (DMP)</w:t>
        </w:r>
      </w:hyperlink>
      <w:hyperlink r:id="rId11">
        <w:r w:rsidRPr="3C29B3E0">
          <w:rPr>
            <w:rFonts w:ascii="Calibri" w:hAnsi="Calibri" w:eastAsia="Calibri" w:cs="Calibri"/>
            <w:color w:val="auto"/>
            <w:lang w:val="en-US"/>
          </w:rPr>
          <w:t>.</w:t>
        </w:r>
      </w:hyperlink>
      <w:r w:rsidRPr="3C29B3E0">
        <w:rPr>
          <w:rFonts w:ascii="Calibri" w:hAnsi="Calibri" w:eastAsia="Calibri" w:cs="Calibri"/>
          <w:color w:val="auto"/>
          <w:lang w:val="en-US"/>
        </w:rPr>
        <w:t xml:space="preserve"> The template should be used when making an application for ethical approval to the</w:t>
      </w:r>
      <w:r w:rsidRPr="3C29B3E0" w:rsidR="5DEE64E8">
        <w:rPr>
          <w:rFonts w:ascii="Calibri" w:hAnsi="Calibri" w:eastAsia="Calibri" w:cs="Calibri"/>
          <w:color w:val="auto"/>
          <w:lang w:val="en-US"/>
        </w:rPr>
        <w:t xml:space="preserve"> </w:t>
      </w:r>
      <w:r w:rsidRPr="3C29B3E0">
        <w:rPr>
          <w:rFonts w:ascii="Calibri" w:hAnsi="Calibri" w:eastAsia="Calibri" w:cs="Calibri"/>
          <w:color w:val="auto"/>
          <w:lang w:val="en-US"/>
        </w:rPr>
        <w:t xml:space="preserve">Research Ethics Committee (REC)  that requires submission of a DMP as part of an application for ethical approval. </w:t>
      </w:r>
    </w:p>
    <w:p w:rsidR="17A5115D" w:rsidP="002A18E7" w:rsidRDefault="17A5115D" w14:paraId="48841083" w14:textId="395149BD">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The purpose of the DMP is to ensure that research data, particularly personal and confidential information, is managed securely, ethically, and responsibly throughout the entire lifecycle of a project. </w:t>
      </w:r>
    </w:p>
    <w:p w:rsidR="17A5115D" w:rsidP="002A18E7" w:rsidRDefault="17A5115D" w14:paraId="3485D328" w14:textId="2671A0BB">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A well-considered DMP is a living document; it should be reviewed and updated throughout your project as circumstances change, especially if your methodology evolves or new types of data are introduced. It serves as a formal record of your commitment to protecting your participants and upholding the integrity of your research, which is fundamental to IFOW's mission. </w:t>
      </w:r>
    </w:p>
    <w:p w:rsidR="776C5350" w:rsidP="002A18E7" w:rsidRDefault="776C5350" w14:paraId="574C2A86" w14:textId="3A3A5303">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All sections of the DMP must be completed; if a section is not applicable, enter N/A.</w:t>
      </w:r>
    </w:p>
    <w:p w:rsidR="776C5350" w:rsidP="002A18E7" w:rsidRDefault="776C5350" w14:paraId="29DB5874" w14:textId="1EAEF7CF">
      <w:pPr>
        <w:spacing w:after="524" w:line="276" w:lineRule="auto"/>
        <w:ind w:left="-5" w:right="70"/>
        <w:jc w:val="both"/>
        <w:rPr>
          <w:rFonts w:ascii="Calibri" w:hAnsi="Calibri" w:eastAsia="Calibri" w:cs="Calibri"/>
          <w:b/>
          <w:bCs/>
          <w:color w:val="auto"/>
        </w:rPr>
      </w:pPr>
      <w:r w:rsidRPr="3C29B3E0">
        <w:rPr>
          <w:rFonts w:ascii="Calibri" w:hAnsi="Calibri" w:eastAsia="Calibri" w:cs="Calibri"/>
          <w:b/>
          <w:bCs/>
          <w:color w:val="auto"/>
        </w:rPr>
        <w:t xml:space="preserve">If you have questions about completing the DMP, please contact </w:t>
      </w:r>
      <w:r w:rsidRPr="3C29B3E0" w:rsidR="242AD494">
        <w:rPr>
          <w:rFonts w:ascii="Calibri" w:hAnsi="Calibri" w:eastAsia="Calibri" w:cs="Calibri"/>
          <w:b/>
          <w:bCs/>
          <w:color w:val="auto"/>
        </w:rPr>
        <w:t>Oliver Nash</w:t>
      </w:r>
      <w:r w:rsidRPr="3C29B3E0">
        <w:rPr>
          <w:rFonts w:ascii="Calibri" w:hAnsi="Calibri" w:eastAsia="Calibri" w:cs="Calibri"/>
          <w:b/>
          <w:bCs/>
          <w:color w:val="auto"/>
        </w:rPr>
        <w:t xml:space="preserve">, Research Data Manager, </w:t>
      </w:r>
      <w:hyperlink r:id="rId12">
        <w:r w:rsidRPr="3C29B3E0" w:rsidR="242AD494">
          <w:rPr>
            <w:rStyle w:val="Hyperlink"/>
            <w:rFonts w:ascii="Calibri" w:hAnsi="Calibri" w:eastAsia="Calibri" w:cs="Calibri"/>
            <w:b/>
            <w:bCs/>
            <w:color w:val="auto"/>
          </w:rPr>
          <w:t>oliver.nash@ifow</w:t>
        </w:r>
      </w:hyperlink>
      <w:r w:rsidRPr="3C29B3E0">
        <w:rPr>
          <w:rFonts w:ascii="Calibri" w:hAnsi="Calibri" w:eastAsia="Calibri" w:cs="Calibri"/>
          <w:b/>
          <w:bCs/>
          <w:color w:val="auto"/>
        </w:rPr>
        <w:t xml:space="preserve">. </w:t>
      </w:r>
    </w:p>
    <w:p w:rsidR="1A8F8ECB" w:rsidP="002A18E7" w:rsidRDefault="1A8F8ECB" w14:paraId="4699B8E6" w14:textId="527BAE8E">
      <w:pPr>
        <w:spacing w:after="524" w:line="276" w:lineRule="auto"/>
        <w:ind w:left="-5" w:right="70"/>
        <w:jc w:val="both"/>
        <w:rPr>
          <w:rFonts w:ascii="Calibri" w:hAnsi="Calibri" w:eastAsia="Calibri" w:cs="Calibri"/>
          <w:b/>
          <w:bCs/>
          <w:color w:val="auto"/>
        </w:rPr>
      </w:pPr>
      <w:r w:rsidRPr="3C29B3E0">
        <w:rPr>
          <w:rFonts w:ascii="Calibri" w:hAnsi="Calibri" w:eastAsia="Calibri" w:cs="Calibri"/>
          <w:b/>
          <w:bCs/>
          <w:color w:val="auto"/>
        </w:rPr>
        <w:t xml:space="preserve">Use the </w:t>
      </w:r>
      <w:hyperlink r:id="rId13">
        <w:r w:rsidRPr="3C29B3E0">
          <w:rPr>
            <w:rStyle w:val="Hyperlink"/>
            <w:rFonts w:ascii="Calibri" w:hAnsi="Calibri" w:eastAsia="Calibri" w:cs="Calibri"/>
            <w:b/>
            <w:bCs/>
          </w:rPr>
          <w:t>IFOW Data Management Lifecycle Checklist</w:t>
        </w:r>
      </w:hyperlink>
      <w:r w:rsidRPr="3C29B3E0">
        <w:rPr>
          <w:rFonts w:ascii="Calibri" w:hAnsi="Calibri" w:eastAsia="Calibri" w:cs="Calibri"/>
          <w:b/>
          <w:bCs/>
        </w:rPr>
        <w:t xml:space="preserve"> for more help.</w:t>
      </w:r>
    </w:p>
    <w:p w:rsidR="005054AB" w:rsidP="002A18E7" w:rsidRDefault="776C5350" w14:paraId="2B4C174B" w14:textId="77777777">
      <w:pPr>
        <w:pStyle w:val="Heading1"/>
        <w:spacing w:line="276" w:lineRule="auto"/>
        <w:rPr>
          <w:rFonts w:ascii="Calibri" w:hAnsi="Calibri" w:eastAsia="Calibri" w:cs="Calibri"/>
          <w:color w:val="auto"/>
          <w:sz w:val="24"/>
        </w:rPr>
      </w:pPr>
      <w:bookmarkStart w:name="_Toc2142879289" w:id="1"/>
      <w:r w:rsidRPr="1A970887">
        <w:rPr>
          <w:color w:val="auto"/>
        </w:rPr>
        <w:t>Definitions</w:t>
      </w:r>
      <w:bookmarkEnd w:id="1"/>
      <w:r w:rsidRPr="1A970887">
        <w:rPr>
          <w:color w:val="auto"/>
        </w:rPr>
        <w:t xml:space="preserve"> </w:t>
      </w:r>
    </w:p>
    <w:p w:rsidR="005054AB" w:rsidP="002A18E7" w:rsidRDefault="776C5350" w14:paraId="21265624" w14:textId="77777777">
      <w:pPr>
        <w:spacing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The DMP is concerned with how you will manage both personal data and confidential information in relation to research data. </w:t>
      </w:r>
    </w:p>
    <w:p w:rsidR="005054AB" w:rsidP="002A18E7" w:rsidRDefault="776C5350" w14:paraId="56C3664A" w14:textId="4BC0641B">
      <w:pPr>
        <w:pStyle w:val="ListParagraph"/>
        <w:numPr>
          <w:ilvl w:val="0"/>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b/>
          <w:bCs/>
          <w:color w:val="auto"/>
          <w:lang w:val="en-US"/>
        </w:rPr>
        <w:t>Personal data</w:t>
      </w:r>
      <w:r w:rsidRPr="1A970887">
        <w:rPr>
          <w:rFonts w:ascii="Calibri" w:hAnsi="Calibri" w:eastAsia="Calibri" w:cs="Calibri"/>
          <w:color w:val="auto"/>
          <w:lang w:val="en-US"/>
        </w:rPr>
        <w:t xml:space="preserve"> </w:t>
      </w:r>
      <w:r w:rsidRPr="1A970887" w:rsidR="46BFCDDD">
        <w:rPr>
          <w:rFonts w:ascii="Calibri" w:hAnsi="Calibri" w:eastAsia="Calibri" w:cs="Calibri"/>
          <w:color w:val="auto"/>
          <w:lang w:val="en-US"/>
        </w:rPr>
        <w:t>- Information as defined in data protection laws (e.g., UK GDPR) relating to a living person who can be identified directly or indirectly. This includes obvious identifiers like a name, email address, or photograph, but also indirect identifiers that, when combined, could identify someone, such as their job title at a specific small company, their postcode, or a unique participant ID. In the context of IFOW's work, this could also include detailed career histories, workplace performance information, or even verbatim qualitative quotes that are unique enough to be traceable to an individual online.</w:t>
      </w:r>
    </w:p>
    <w:p w:rsidR="46BFCDDD" w:rsidP="002A18E7" w:rsidRDefault="46BFCDDD" w14:paraId="7D4E3193" w14:textId="23C8EE4B">
      <w:pPr>
        <w:pStyle w:val="ListParagraph"/>
        <w:numPr>
          <w:ilvl w:val="1"/>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color w:val="auto"/>
          <w:lang w:val="en-US"/>
        </w:rPr>
        <w:t>Special Category Data: A subset of personal data that is more sensitive and therefore requires higher levels of protection because its misuse could lead to discrimination or harm. This includes information about an individual's race or ethnicity, political opinions, religious beliefs, trade union membership, genetics, biometrics, health (both physical and mental), or sexual orientation. If you plan to collect this type of data, you must have a clear and lawful basis for doing so, which must be documented in your ethics application</w:t>
      </w:r>
      <w:r w:rsidRPr="1A970887" w:rsidR="4278389D">
        <w:rPr>
          <w:rFonts w:ascii="Calibri" w:hAnsi="Calibri" w:eastAsia="Calibri" w:cs="Calibri"/>
          <w:color w:val="auto"/>
          <w:lang w:val="en-US"/>
        </w:rPr>
        <w:t>.</w:t>
      </w:r>
    </w:p>
    <w:p w:rsidR="1A970887" w:rsidP="002A18E7" w:rsidRDefault="1A970887" w14:paraId="04DA42C4" w14:textId="13D3D4DE">
      <w:pPr>
        <w:pStyle w:val="ListParagraph"/>
        <w:spacing w:line="276" w:lineRule="auto"/>
        <w:ind w:left="1440" w:right="70"/>
        <w:jc w:val="both"/>
        <w:rPr>
          <w:rFonts w:ascii="Calibri" w:hAnsi="Calibri" w:eastAsia="Calibri" w:cs="Calibri"/>
          <w:color w:val="auto"/>
          <w:lang w:val="en-US"/>
        </w:rPr>
      </w:pPr>
    </w:p>
    <w:p w:rsidR="005054AB" w:rsidP="002A18E7" w:rsidRDefault="776C5350" w14:paraId="2137FC1A" w14:textId="77777777">
      <w:pPr>
        <w:pStyle w:val="ListParagraph"/>
        <w:numPr>
          <w:ilvl w:val="0"/>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b/>
          <w:bCs/>
          <w:color w:val="auto"/>
          <w:lang w:val="en-US"/>
        </w:rPr>
        <w:t>Confidential information</w:t>
      </w:r>
      <w:r w:rsidRPr="1A970887">
        <w:rPr>
          <w:rFonts w:ascii="Calibri" w:hAnsi="Calibri" w:eastAsia="Calibri" w:cs="Calibri"/>
          <w:color w:val="auto"/>
          <w:lang w:val="en-US"/>
        </w:rPr>
        <w:t xml:space="preserve"> is non-public information relating to an identifiable living individual or legal entity. Those with whom this information is shared have an ethical obligation to maintain the confidentiality of the information. In research, confidential individual information and personal data are often the same. Information may be confidential for other reasons, for example, if it is non-public information relating to a business or other </w:t>
      </w:r>
      <w:proofErr w:type="spellStart"/>
      <w:r w:rsidRPr="1A970887">
        <w:rPr>
          <w:rFonts w:ascii="Calibri" w:hAnsi="Calibri" w:eastAsia="Calibri" w:cs="Calibri"/>
          <w:color w:val="auto"/>
          <w:lang w:val="en-US"/>
        </w:rPr>
        <w:t>organisation</w:t>
      </w:r>
      <w:proofErr w:type="spellEnd"/>
      <w:r w:rsidRPr="1A970887">
        <w:rPr>
          <w:rFonts w:ascii="Calibri" w:hAnsi="Calibri" w:eastAsia="Calibri" w:cs="Calibri"/>
          <w:color w:val="auto"/>
          <w:lang w:val="en-US"/>
        </w:rPr>
        <w:t xml:space="preserve">. Examples include commercially confidential information, and sensitive location details (e.g. relating to endangered species, military sites, etc.).  </w:t>
      </w:r>
    </w:p>
    <w:p w:rsidR="005054AB" w:rsidP="002A18E7" w:rsidRDefault="005054AB" w14:paraId="4679E698" w14:textId="49557B10">
      <w:pPr>
        <w:pStyle w:val="ListParagraph"/>
        <w:spacing w:line="276" w:lineRule="auto"/>
        <w:ind w:right="70"/>
        <w:jc w:val="both"/>
        <w:rPr>
          <w:rFonts w:ascii="Calibri" w:hAnsi="Calibri" w:eastAsia="Calibri" w:cs="Calibri"/>
          <w:color w:val="auto"/>
          <w:lang w:val="en-US"/>
        </w:rPr>
      </w:pPr>
    </w:p>
    <w:p w:rsidR="005054AB" w:rsidP="002A18E7" w:rsidRDefault="776C5350" w14:paraId="7BCF3567" w14:textId="3AFB5CE6">
      <w:pPr>
        <w:pStyle w:val="ListParagraph"/>
        <w:numPr>
          <w:ilvl w:val="0"/>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b/>
          <w:bCs/>
          <w:color w:val="auto"/>
          <w:lang w:val="en-US"/>
        </w:rPr>
        <w:t>Research data</w:t>
      </w:r>
      <w:r w:rsidRPr="1A970887">
        <w:rPr>
          <w:rFonts w:ascii="Calibri" w:hAnsi="Calibri" w:eastAsia="Calibri" w:cs="Calibri"/>
          <w:color w:val="auto"/>
          <w:lang w:val="en-US"/>
        </w:rPr>
        <w:t xml:space="preserve"> is information collected to answer a research question. Where the data have been collected from research participants, they are usually processed at some stage in the research to remove direct identifiers such as names and contact details, although they may still include indirect identifiers (such as key codes, age, job title, etc.). De-identified research data is generally suitable for public sharing, although care may need to be taken to unlink pseudonymous key codes and mask or remove indirect identifiers before making research data widely available. </w:t>
      </w:r>
    </w:p>
    <w:p w:rsidR="005054AB" w:rsidP="002A18E7" w:rsidRDefault="776C5350" w14:paraId="5740A6F4" w14:textId="77777777">
      <w:pPr>
        <w:pStyle w:val="ListParagraph"/>
        <w:numPr>
          <w:ilvl w:val="1"/>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b/>
          <w:bCs/>
          <w:color w:val="auto"/>
          <w:lang w:val="en-US"/>
        </w:rPr>
        <w:t>Anonymous data</w:t>
      </w:r>
      <w:r w:rsidRPr="1A970887">
        <w:rPr>
          <w:rFonts w:ascii="Calibri" w:hAnsi="Calibri" w:eastAsia="Calibri" w:cs="Calibri"/>
          <w:color w:val="auto"/>
          <w:lang w:val="en-US"/>
        </w:rPr>
        <w:t xml:space="preserve"> is data that no-one can relate to an identifiable individual. For example, if a survey did not record any information relating to the identity of an individual, including data such as an email address or telephone number, then the data collected could be described as anonymous, providing that the </w:t>
      </w:r>
      <w:r w:rsidRPr="1A970887">
        <w:rPr>
          <w:rFonts w:ascii="Calibri" w:hAnsi="Calibri" w:eastAsia="Calibri" w:cs="Calibri"/>
          <w:color w:val="auto"/>
          <w:lang w:val="en-US"/>
        </w:rPr>
        <w:t xml:space="preserve">information itself was not sufficiently detailed enough to </w:t>
      </w:r>
      <w:r w:rsidRPr="1A970887">
        <w:rPr>
          <w:rFonts w:ascii="Calibri" w:hAnsi="Calibri" w:eastAsia="Calibri" w:cs="Calibri"/>
          <w:i/>
          <w:iCs/>
          <w:color w:val="auto"/>
          <w:lang w:val="en-US"/>
        </w:rPr>
        <w:t>indirectly</w:t>
      </w:r>
      <w:r w:rsidRPr="1A970887">
        <w:rPr>
          <w:rFonts w:ascii="Calibri" w:hAnsi="Calibri" w:eastAsia="Calibri" w:cs="Calibri"/>
          <w:color w:val="auto"/>
          <w:lang w:val="en-US"/>
        </w:rPr>
        <w:t xml:space="preserve"> identify them. </w:t>
      </w:r>
    </w:p>
    <w:p w:rsidR="005054AB" w:rsidP="002A18E7" w:rsidRDefault="776C5350" w14:paraId="6651C61D" w14:textId="77777777">
      <w:pPr>
        <w:pStyle w:val="ListParagraph"/>
        <w:numPr>
          <w:ilvl w:val="1"/>
          <w:numId w:val="8"/>
        </w:numPr>
        <w:spacing w:line="276" w:lineRule="auto"/>
        <w:ind w:right="70"/>
        <w:jc w:val="both"/>
        <w:rPr>
          <w:rFonts w:ascii="Calibri" w:hAnsi="Calibri" w:eastAsia="Calibri" w:cs="Calibri"/>
          <w:color w:val="auto"/>
          <w:lang w:val="en-US"/>
        </w:rPr>
      </w:pPr>
      <w:r w:rsidRPr="1A970887">
        <w:rPr>
          <w:rFonts w:ascii="Calibri" w:hAnsi="Calibri" w:eastAsia="Calibri" w:cs="Calibri"/>
          <w:b/>
          <w:bCs/>
          <w:color w:val="auto"/>
          <w:lang w:val="en-US"/>
        </w:rPr>
        <w:t>Pseudonymous/de-identified/link-coded data</w:t>
      </w:r>
      <w:r w:rsidRPr="1A970887">
        <w:rPr>
          <w:rFonts w:ascii="Calibri" w:hAnsi="Calibri" w:eastAsia="Calibri" w:cs="Calibri"/>
          <w:color w:val="auto"/>
          <w:lang w:val="en-US"/>
        </w:rPr>
        <w:t xml:space="preserve"> is data that relates to an individual but is presented in such a way that it does not directly identify them. If the researcher still knows who the data relates to, it is still personal data in data protection law. An example is where a unique participant ID is applied to a dataset, and direct identifiers (such as name and contact details) are removed. These identifiers may be held in a separate link table that lists identifiable participants and the linked IDs by which their data records are coded in the dataset. Separating identifying information from research data during research is a recommended data </w:t>
      </w:r>
      <w:proofErr w:type="spellStart"/>
      <w:r w:rsidRPr="1A970887">
        <w:rPr>
          <w:rFonts w:ascii="Calibri" w:hAnsi="Calibri" w:eastAsia="Calibri" w:cs="Calibri"/>
          <w:color w:val="auto"/>
          <w:lang w:val="en-US"/>
        </w:rPr>
        <w:t>minimisation</w:t>
      </w:r>
      <w:proofErr w:type="spellEnd"/>
      <w:r w:rsidRPr="1A970887">
        <w:rPr>
          <w:rFonts w:ascii="Calibri" w:hAnsi="Calibri" w:eastAsia="Calibri" w:cs="Calibri"/>
          <w:color w:val="auto"/>
          <w:lang w:val="en-US"/>
        </w:rPr>
        <w:t xml:space="preserve"> practice because it reduces the risk that </w:t>
      </w:r>
      <w:proofErr w:type="spellStart"/>
      <w:r w:rsidRPr="1A970887">
        <w:rPr>
          <w:rFonts w:ascii="Calibri" w:hAnsi="Calibri" w:eastAsia="Calibri" w:cs="Calibri"/>
          <w:color w:val="auto"/>
          <w:lang w:val="en-US"/>
        </w:rPr>
        <w:t>unauthorised</w:t>
      </w:r>
      <w:proofErr w:type="spellEnd"/>
      <w:r w:rsidRPr="1A970887">
        <w:rPr>
          <w:rFonts w:ascii="Calibri" w:hAnsi="Calibri" w:eastAsia="Calibri" w:cs="Calibri"/>
          <w:color w:val="auto"/>
          <w:lang w:val="en-US"/>
        </w:rPr>
        <w:t xml:space="preserve"> persons could identify data subjects if the dataset is compromised. But under data protection law pseudonymous or link-coded data remain personal data and cannot be described as anonymous.  </w:t>
      </w:r>
    </w:p>
    <w:p w:rsidR="1A970887" w:rsidP="002A18E7" w:rsidRDefault="1A970887" w14:paraId="33195FC9" w14:textId="55685FC9">
      <w:pPr>
        <w:pStyle w:val="ListParagraph"/>
        <w:spacing w:line="276" w:lineRule="auto"/>
        <w:ind w:left="1440" w:right="70"/>
        <w:jc w:val="both"/>
        <w:rPr>
          <w:rFonts w:ascii="Calibri" w:hAnsi="Calibri" w:eastAsia="Calibri" w:cs="Calibri"/>
          <w:color w:val="auto"/>
          <w:lang w:val="en-US"/>
        </w:rPr>
      </w:pPr>
    </w:p>
    <w:p w:rsidR="005054AB" w:rsidP="002A18E7" w:rsidRDefault="776C5350" w14:paraId="6A2A40D1" w14:textId="4C13618D">
      <w:pPr>
        <w:spacing w:after="526" w:line="276" w:lineRule="auto"/>
        <w:ind w:left="-15" w:right="70" w:firstLine="0"/>
        <w:jc w:val="both"/>
        <w:rPr>
          <w:rFonts w:ascii="Calibri" w:hAnsi="Calibri" w:eastAsia="Calibri" w:cs="Calibri"/>
          <w:color w:val="auto"/>
          <w:lang w:val="en-US"/>
        </w:rPr>
      </w:pPr>
      <w:r w:rsidRPr="1A970887">
        <w:rPr>
          <w:rFonts w:ascii="Calibri" w:hAnsi="Calibri" w:eastAsia="Calibri" w:cs="Calibri"/>
          <w:color w:val="auto"/>
          <w:lang w:val="en-US"/>
        </w:rPr>
        <w:t xml:space="preserve">Guidance on </w:t>
      </w:r>
      <w:proofErr w:type="spellStart"/>
      <w:r w:rsidRPr="1A970887">
        <w:rPr>
          <w:rFonts w:ascii="Calibri" w:hAnsi="Calibri" w:eastAsia="Calibri" w:cs="Calibri"/>
          <w:color w:val="auto"/>
          <w:lang w:val="en-US"/>
        </w:rPr>
        <w:t>anonymisation</w:t>
      </w:r>
      <w:proofErr w:type="spellEnd"/>
      <w:r w:rsidRPr="1A970887">
        <w:rPr>
          <w:rFonts w:ascii="Calibri" w:hAnsi="Calibri" w:eastAsia="Calibri" w:cs="Calibri"/>
          <w:color w:val="auto"/>
          <w:lang w:val="en-US"/>
        </w:rPr>
        <w:t xml:space="preserve"> techniques for both quantitative and qualitative data can be found in</w:t>
      </w:r>
      <w:r w:rsidR="00D060ED">
        <w:rPr>
          <w:rFonts w:ascii="Calibri" w:hAnsi="Calibri" w:eastAsia="Calibri" w:cs="Calibri"/>
          <w:color w:val="auto"/>
          <w:lang w:val="en-US"/>
        </w:rPr>
        <w:t>, e.g., the University of Reading guidance for</w:t>
      </w:r>
      <w:r w:rsidRPr="1A970887">
        <w:rPr>
          <w:rFonts w:ascii="Calibri" w:hAnsi="Calibri" w:eastAsia="Calibri" w:cs="Calibri"/>
          <w:color w:val="auto"/>
          <w:lang w:val="en-US"/>
        </w:rPr>
        <w:t xml:space="preserve"> </w:t>
      </w:r>
      <w:hyperlink r:id="rId14">
        <w:r w:rsidRPr="1A970887">
          <w:rPr>
            <w:rFonts w:ascii="Calibri" w:hAnsi="Calibri" w:eastAsia="Calibri" w:cs="Calibri"/>
            <w:color w:val="auto"/>
            <w:u w:val="single"/>
            <w:lang w:val="en-US"/>
          </w:rPr>
          <w:t>Data Protection for Researchers</w:t>
        </w:r>
      </w:hyperlink>
      <w:hyperlink r:id="rId15">
        <w:r w:rsidRPr="1A970887">
          <w:rPr>
            <w:rFonts w:ascii="Calibri" w:hAnsi="Calibri" w:eastAsia="Calibri" w:cs="Calibri"/>
            <w:color w:val="auto"/>
            <w:lang w:val="en-US"/>
          </w:rPr>
          <w:t>.</w:t>
        </w:r>
      </w:hyperlink>
      <w:r w:rsidRPr="1A970887">
        <w:rPr>
          <w:rFonts w:ascii="Calibri" w:hAnsi="Calibri" w:eastAsia="Calibri" w:cs="Calibri"/>
          <w:color w:val="auto"/>
          <w:lang w:val="en-US"/>
        </w:rPr>
        <w:t xml:space="preserve"> </w:t>
      </w:r>
    </w:p>
    <w:p w:rsidR="005054AB" w:rsidP="002A18E7" w:rsidRDefault="776C5350" w14:paraId="72057C8C" w14:textId="77777777">
      <w:pPr>
        <w:pStyle w:val="Heading1"/>
        <w:spacing w:line="276" w:lineRule="auto"/>
        <w:ind w:left="0" w:firstLine="0"/>
        <w:rPr>
          <w:color w:val="auto"/>
        </w:rPr>
      </w:pPr>
      <w:bookmarkStart w:name="_Toc1807390083" w:id="2"/>
      <w:r w:rsidRPr="1A970887">
        <w:rPr>
          <w:color w:val="auto"/>
        </w:rPr>
        <w:t>Guidance on completing the DMP</w:t>
      </w:r>
      <w:bookmarkEnd w:id="2"/>
      <w:r w:rsidRPr="1A970887">
        <w:rPr>
          <w:color w:val="auto"/>
        </w:rPr>
        <w:t xml:space="preserve"> </w:t>
      </w:r>
    </w:p>
    <w:p w:rsidR="1A970887" w:rsidP="002A18E7" w:rsidRDefault="1A970887" w14:paraId="43A5744A" w14:textId="63C2855B">
      <w:pPr>
        <w:spacing w:line="276" w:lineRule="auto"/>
        <w:ind w:left="0" w:firstLine="0"/>
        <w:rPr>
          <w:color w:val="auto"/>
        </w:rPr>
      </w:pPr>
    </w:p>
    <w:p w:rsidR="772CA572" w:rsidP="002A18E7" w:rsidRDefault="772CA572" w14:paraId="4402177B" w14:textId="26EF6ED7">
      <w:pPr>
        <w:pStyle w:val="Heading2"/>
        <w:spacing w:line="276" w:lineRule="auto"/>
        <w:jc w:val="both"/>
        <w:rPr>
          <w:rFonts w:ascii="Calibri" w:hAnsi="Calibri" w:eastAsia="Calibri" w:cs="Calibri"/>
          <w:bCs/>
          <w:color w:val="auto"/>
        </w:rPr>
      </w:pPr>
      <w:bookmarkStart w:name="_Toc509281048" w:id="3"/>
      <w:r w:rsidRPr="1A970887">
        <w:rPr>
          <w:rFonts w:ascii="Calibri" w:hAnsi="Calibri" w:eastAsia="Calibri" w:cs="Calibri"/>
          <w:color w:val="auto"/>
        </w:rPr>
        <w:t xml:space="preserve">1. </w:t>
      </w:r>
      <w:r w:rsidRPr="1A970887" w:rsidR="7FD34431">
        <w:rPr>
          <w:rFonts w:ascii="Calibri" w:hAnsi="Calibri" w:eastAsia="Calibri" w:cs="Calibri"/>
          <w:color w:val="auto"/>
        </w:rPr>
        <w:t>DATA COLLECTION &amp; DESCRIPTION</w:t>
      </w:r>
      <w:bookmarkEnd w:id="3"/>
    </w:p>
    <w:p w:rsidR="5BC8CB9F" w:rsidP="002A18E7" w:rsidRDefault="5BC8CB9F" w14:paraId="439ED347" w14:textId="6A3F9818">
      <w:pPr>
        <w:spacing w:before="240" w:after="240" w:line="276" w:lineRule="auto"/>
        <w:jc w:val="both"/>
        <w:rPr>
          <w:rFonts w:ascii="Calibri" w:hAnsi="Calibri" w:eastAsia="Calibri" w:cs="Calibri"/>
          <w:color w:val="auto"/>
        </w:rPr>
      </w:pPr>
      <w:r w:rsidRPr="1A970887">
        <w:rPr>
          <w:rFonts w:ascii="Calibri" w:hAnsi="Calibri" w:eastAsia="Calibri" w:cs="Calibri"/>
          <w:color w:val="auto"/>
        </w:rPr>
        <w:t>1.1 What research data will be collected or created?</w:t>
      </w:r>
    </w:p>
    <w:p w:rsidR="5BC8CB9F" w:rsidP="002A18E7" w:rsidRDefault="5BC8CB9F" w14:paraId="379A0F7C" w14:textId="09F58F99">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You must be specific and exhaustive when describing the data you will collect or create. This demonstrates that you have thought through the practicalities of your project and the resources required. Consider the following:</w:t>
      </w:r>
    </w:p>
    <w:p w:rsidR="5BC8CB9F" w:rsidP="002A18E7" w:rsidRDefault="5BC8CB9F" w14:paraId="4C1920BA" w14:textId="3A19002B">
      <w:pPr>
        <w:pStyle w:val="ListParagraph"/>
        <w:numPr>
          <w:ilvl w:val="0"/>
          <w:numId w:val="6"/>
        </w:numPr>
        <w:spacing w:before="240" w:after="240" w:line="276" w:lineRule="auto"/>
        <w:jc w:val="both"/>
        <w:rPr>
          <w:rFonts w:ascii="Calibri" w:hAnsi="Calibri" w:eastAsia="Calibri" w:cs="Calibri"/>
          <w:color w:val="auto"/>
          <w:lang w:val="en-US"/>
        </w:rPr>
      </w:pPr>
      <w:r w:rsidRPr="1A970887">
        <w:rPr>
          <w:rFonts w:ascii="Calibri" w:hAnsi="Calibri" w:eastAsia="Calibri" w:cs="Calibri"/>
          <w:b/>
          <w:bCs/>
          <w:color w:val="auto"/>
          <w:lang w:val="en-US"/>
        </w:rPr>
        <w:t>Data Types:</w:t>
      </w:r>
      <w:r w:rsidRPr="1A970887">
        <w:rPr>
          <w:rFonts w:ascii="Calibri" w:hAnsi="Calibri" w:eastAsia="Calibri" w:cs="Calibri"/>
          <w:color w:val="auto"/>
          <w:lang w:val="en-US"/>
        </w:rPr>
        <w:t xml:space="preserve"> Describe the kinds of data you will be working with.</w:t>
      </w:r>
    </w:p>
    <w:p w:rsidR="5BC8CB9F" w:rsidP="002A18E7" w:rsidRDefault="5BC8CB9F" w14:paraId="2A6ACA5A" w14:textId="45BD73F6">
      <w:pPr>
        <w:pStyle w:val="ListParagraph"/>
        <w:spacing w:before="240" w:after="240" w:line="276" w:lineRule="auto"/>
        <w:jc w:val="both"/>
        <w:rPr>
          <w:rFonts w:ascii="Calibri" w:hAnsi="Calibri" w:eastAsia="Calibri" w:cs="Calibri"/>
          <w:color w:val="auto"/>
          <w:lang w:val="en-US"/>
        </w:rPr>
      </w:pPr>
      <w:r w:rsidRPr="1A970887">
        <w:rPr>
          <w:rFonts w:ascii="Calibri" w:hAnsi="Calibri" w:eastAsia="Calibri" w:cs="Calibri"/>
          <w:i/>
          <w:iCs/>
          <w:color w:val="auto"/>
          <w:lang w:val="en-US"/>
        </w:rPr>
        <w:t>Examples:</w:t>
      </w:r>
      <w:r w:rsidRPr="1A970887">
        <w:rPr>
          <w:rFonts w:ascii="Calibri" w:hAnsi="Calibri" w:eastAsia="Calibri" w:cs="Calibri"/>
          <w:color w:val="auto"/>
          <w:lang w:val="en-US"/>
        </w:rPr>
        <w:t xml:space="preserve"> Semi-structured interviews, online surveys with Likert scales and open-text fields, focus group transcripts, secondary </w:t>
      </w:r>
      <w:proofErr w:type="spellStart"/>
      <w:r w:rsidRPr="1A970887">
        <w:rPr>
          <w:rFonts w:ascii="Calibri" w:hAnsi="Calibri" w:eastAsia="Calibri" w:cs="Calibri"/>
          <w:color w:val="auto"/>
          <w:lang w:val="en-US"/>
        </w:rPr>
        <w:t>labour</w:t>
      </w:r>
      <w:proofErr w:type="spellEnd"/>
      <w:r w:rsidRPr="1A970887">
        <w:rPr>
          <w:rFonts w:ascii="Calibri" w:hAnsi="Calibri" w:eastAsia="Calibri" w:cs="Calibri"/>
          <w:color w:val="auto"/>
          <w:lang w:val="en-US"/>
        </w:rPr>
        <w:t xml:space="preserve"> force statistics from the ONS.</w:t>
      </w:r>
    </w:p>
    <w:p w:rsidR="5BC8CB9F" w:rsidP="002A18E7" w:rsidRDefault="5BC8CB9F" w14:paraId="66BFF669" w14:textId="1436E80C">
      <w:pPr>
        <w:pStyle w:val="ListParagraph"/>
        <w:numPr>
          <w:ilvl w:val="0"/>
          <w:numId w:val="6"/>
        </w:numPr>
        <w:spacing w:before="240" w:after="240" w:line="276" w:lineRule="auto"/>
        <w:jc w:val="both"/>
        <w:rPr>
          <w:rFonts w:ascii="Calibri" w:hAnsi="Calibri" w:eastAsia="Calibri" w:cs="Calibri"/>
          <w:color w:val="auto"/>
          <w:lang w:val="en-US"/>
        </w:rPr>
      </w:pPr>
      <w:r w:rsidRPr="1A970887">
        <w:rPr>
          <w:rFonts w:ascii="Calibri" w:hAnsi="Calibri" w:eastAsia="Calibri" w:cs="Calibri"/>
          <w:b/>
          <w:bCs/>
          <w:color w:val="auto"/>
          <w:lang w:val="en-US"/>
        </w:rPr>
        <w:t>Data Formats:</w:t>
      </w:r>
      <w:r w:rsidRPr="1A970887">
        <w:rPr>
          <w:rFonts w:ascii="Calibri" w:hAnsi="Calibri" w:eastAsia="Calibri" w:cs="Calibri"/>
          <w:color w:val="auto"/>
          <w:lang w:val="en-US"/>
        </w:rPr>
        <w:t xml:space="preserve"> Detail the file formats for your data.</w:t>
      </w:r>
    </w:p>
    <w:p w:rsidR="5BC8CB9F" w:rsidP="002A18E7" w:rsidRDefault="5BC8CB9F" w14:paraId="191A054A" w14:textId="0008A396">
      <w:pPr>
        <w:pStyle w:val="ListParagraph"/>
        <w:spacing w:before="240" w:after="240" w:line="276" w:lineRule="auto"/>
        <w:jc w:val="both"/>
        <w:rPr>
          <w:rFonts w:ascii="Calibri" w:hAnsi="Calibri" w:eastAsia="Calibri" w:cs="Calibri"/>
          <w:color w:val="auto"/>
          <w:lang w:val="en-US"/>
        </w:rPr>
      </w:pPr>
      <w:r w:rsidRPr="1A970887">
        <w:rPr>
          <w:rFonts w:ascii="Calibri" w:hAnsi="Calibri" w:eastAsia="Calibri" w:cs="Calibri"/>
          <w:i/>
          <w:iCs/>
          <w:color w:val="auto"/>
          <w:lang w:val="en-US"/>
        </w:rPr>
        <w:t>Examples:</w:t>
      </w:r>
      <w:r w:rsidRPr="1A970887">
        <w:rPr>
          <w:rFonts w:ascii="Calibri" w:hAnsi="Calibri" w:eastAsia="Calibri" w:cs="Calibri"/>
          <w:color w:val="auto"/>
          <w:lang w:val="en-US"/>
        </w:rPr>
        <w:t xml:space="preserve"> Audio recordings as .mp3, transcripts as .docx, survey data as .csv, </w:t>
      </w:r>
      <w:r w:rsidR="00462B50">
        <w:rPr>
          <w:rFonts w:ascii="Calibri" w:hAnsi="Calibri" w:eastAsia="Calibri" w:cs="Calibri"/>
          <w:color w:val="auto"/>
          <w:lang w:val="en-US"/>
        </w:rPr>
        <w:t>etc</w:t>
      </w:r>
      <w:r w:rsidRPr="1A970887">
        <w:rPr>
          <w:rFonts w:ascii="Calibri" w:hAnsi="Calibri" w:eastAsia="Calibri" w:cs="Calibri"/>
          <w:color w:val="auto"/>
          <w:lang w:val="en-US"/>
        </w:rPr>
        <w:t>.</w:t>
      </w:r>
    </w:p>
    <w:p w:rsidR="5BC8CB9F" w:rsidP="002A18E7" w:rsidRDefault="5BC8CB9F" w14:paraId="6C39DDCA" w14:textId="79E10600">
      <w:pPr>
        <w:pStyle w:val="ListParagraph"/>
        <w:numPr>
          <w:ilvl w:val="0"/>
          <w:numId w:val="6"/>
        </w:numPr>
        <w:spacing w:before="240" w:after="240" w:line="276" w:lineRule="auto"/>
        <w:jc w:val="both"/>
        <w:rPr>
          <w:rFonts w:ascii="Calibri" w:hAnsi="Calibri" w:eastAsia="Calibri" w:cs="Calibri"/>
          <w:color w:val="auto"/>
          <w:lang w:val="en-US"/>
        </w:rPr>
      </w:pPr>
      <w:r w:rsidRPr="1A970887">
        <w:rPr>
          <w:rFonts w:ascii="Calibri" w:hAnsi="Calibri" w:eastAsia="Calibri" w:cs="Calibri"/>
          <w:b/>
          <w:bCs/>
          <w:color w:val="auto"/>
          <w:lang w:val="en-US"/>
        </w:rPr>
        <w:t>Data Volume:</w:t>
      </w:r>
      <w:r w:rsidRPr="1A970887">
        <w:rPr>
          <w:rFonts w:ascii="Calibri" w:hAnsi="Calibri" w:eastAsia="Calibri" w:cs="Calibri"/>
          <w:color w:val="auto"/>
          <w:lang w:val="en-US"/>
        </w:rPr>
        <w:t xml:space="preserve"> Provide a realistic estimate of the amount of data you expect to generate.</w:t>
      </w:r>
    </w:p>
    <w:p w:rsidR="5BC8CB9F" w:rsidP="002A18E7" w:rsidRDefault="5BC8CB9F" w14:paraId="2194C396" w14:textId="2011680B">
      <w:pPr>
        <w:pStyle w:val="ListParagraph"/>
        <w:spacing w:before="240" w:after="240" w:line="276" w:lineRule="auto"/>
        <w:jc w:val="both"/>
        <w:rPr>
          <w:rFonts w:ascii="Calibri" w:hAnsi="Calibri" w:eastAsia="Calibri" w:cs="Calibri"/>
          <w:color w:val="auto"/>
          <w:lang w:val="en-US"/>
        </w:rPr>
      </w:pPr>
      <w:r w:rsidRPr="1A970887">
        <w:rPr>
          <w:rFonts w:ascii="Calibri" w:hAnsi="Calibri" w:eastAsia="Calibri" w:cs="Calibri"/>
          <w:i/>
          <w:iCs/>
          <w:color w:val="auto"/>
          <w:lang w:val="en-US"/>
        </w:rPr>
        <w:t>Examples:</w:t>
      </w:r>
      <w:r w:rsidRPr="1A970887">
        <w:rPr>
          <w:rFonts w:ascii="Calibri" w:hAnsi="Calibri" w:eastAsia="Calibri" w:cs="Calibri"/>
          <w:color w:val="auto"/>
          <w:lang w:val="en-US"/>
        </w:rPr>
        <w:t xml:space="preserve"> '25 one-hour interviews resulting in approx. 500 pages of transcripts', 'a survey dataset of 500 respondents with 40 variables, approx. 2GB'.</w:t>
      </w:r>
    </w:p>
    <w:p w:rsidR="16A22E9D" w:rsidP="002A18E7" w:rsidRDefault="16A22E9D" w14:paraId="2B0D7F41" w14:textId="33DD5F41">
      <w:pPr>
        <w:spacing w:before="240" w:after="240" w:line="276" w:lineRule="auto"/>
        <w:ind w:left="0" w:firstLine="0"/>
        <w:jc w:val="both"/>
        <w:rPr>
          <w:rFonts w:ascii="Calibri" w:hAnsi="Calibri" w:eastAsia="Calibri" w:cs="Calibri"/>
          <w:color w:val="auto"/>
          <w:lang w:val="en-US"/>
        </w:rPr>
      </w:pPr>
      <w:r w:rsidRPr="1A970887">
        <w:rPr>
          <w:rFonts w:ascii="Calibri" w:hAnsi="Calibri" w:eastAsia="Calibri" w:cs="Calibri"/>
          <w:color w:val="auto"/>
          <w:lang w:val="en-US"/>
        </w:rPr>
        <w:t>1.2 How will the data be documented and described?</w:t>
      </w:r>
    </w:p>
    <w:p w:rsidR="16A22E9D" w:rsidP="002A18E7" w:rsidRDefault="16A22E9D" w14:paraId="024C5B8D" w14:textId="71C94A29">
      <w:pPr>
        <w:spacing w:before="240" w:after="240" w:line="276" w:lineRule="auto"/>
        <w:ind w:left="0" w:firstLine="0"/>
        <w:jc w:val="both"/>
        <w:rPr>
          <w:rFonts w:ascii="Calibri" w:hAnsi="Calibri" w:eastAsia="Calibri" w:cs="Calibri"/>
          <w:color w:val="auto"/>
          <w:lang w:val="en-US"/>
        </w:rPr>
      </w:pPr>
      <w:r w:rsidRPr="1A970887">
        <w:rPr>
          <w:rFonts w:ascii="Calibri" w:hAnsi="Calibri" w:eastAsia="Calibri" w:cs="Calibri"/>
          <w:color w:val="auto"/>
          <w:lang w:val="en-US"/>
        </w:rPr>
        <w:t xml:space="preserve">Good documentation, or 'metadata' (data about data), is essential for anyone (including yourself in six months' time) to understand and trust your data. It is a cornerstone of making research findable, accessible, interoperable, and reusable (FAIR). </w:t>
      </w:r>
    </w:p>
    <w:p w:rsidR="16A22E9D" w:rsidP="002A18E7" w:rsidRDefault="16A22E9D" w14:paraId="01FAE61A" w14:textId="35197EBF">
      <w:pPr>
        <w:pStyle w:val="ListParagraph"/>
        <w:numPr>
          <w:ilvl w:val="0"/>
          <w:numId w:val="5"/>
        </w:num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For quantitative data, you must produce a data dictionary or codebook explaining all variable names, labels, units of measurement, and coding for missing values </w:t>
      </w:r>
    </w:p>
    <w:p w:rsidR="16A22E9D" w:rsidP="002A18E7" w:rsidRDefault="16A22E9D" w14:paraId="47D34F28" w14:textId="3172CAB2">
      <w:pPr>
        <w:pStyle w:val="ListParagraph"/>
        <w:numPr>
          <w:ilvl w:val="0"/>
          <w:numId w:val="5"/>
        </w:num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For qualitative data, document the context of data collection (e.g., date, setting, interviewer, duration) as this can be crucial for interpretation. </w:t>
      </w:r>
    </w:p>
    <w:p w:rsidR="1A970887" w:rsidP="002A18E7" w:rsidRDefault="1A970887" w14:paraId="4896CA22" w14:textId="54B8E83B">
      <w:pPr>
        <w:pStyle w:val="ListParagraph"/>
        <w:spacing w:before="240" w:after="240" w:line="276" w:lineRule="auto"/>
        <w:jc w:val="both"/>
        <w:rPr>
          <w:rFonts w:ascii="Calibri" w:hAnsi="Calibri" w:eastAsia="Calibri" w:cs="Calibri"/>
          <w:color w:val="auto"/>
          <w:lang w:val="en-US"/>
        </w:rPr>
      </w:pPr>
    </w:p>
    <w:p w:rsidR="005054AB" w:rsidP="002A18E7" w:rsidRDefault="5BC8CB9F" w14:paraId="14E5F0FD" w14:textId="3BCA8401">
      <w:pPr>
        <w:pStyle w:val="Heading2"/>
        <w:spacing w:line="276" w:lineRule="auto"/>
        <w:jc w:val="both"/>
        <w:rPr>
          <w:rFonts w:ascii="Calibri" w:hAnsi="Calibri" w:eastAsia="Calibri" w:cs="Calibri"/>
          <w:bCs/>
          <w:color w:val="auto"/>
        </w:rPr>
      </w:pPr>
      <w:bookmarkStart w:name="_Toc1835354680" w:id="4"/>
      <w:r w:rsidRPr="1A970887">
        <w:rPr>
          <w:rFonts w:ascii="Calibri" w:hAnsi="Calibri" w:eastAsia="Calibri" w:cs="Calibri"/>
          <w:color w:val="auto"/>
        </w:rPr>
        <w:t xml:space="preserve">2. </w:t>
      </w:r>
      <w:r w:rsidRPr="1A970887" w:rsidR="12B3BF36">
        <w:rPr>
          <w:rFonts w:ascii="Calibri" w:hAnsi="Calibri" w:eastAsia="Calibri" w:cs="Calibri"/>
          <w:color w:val="auto"/>
        </w:rPr>
        <w:t>PERSONAL &amp; CONFIDENTIAL DATA</w:t>
      </w:r>
      <w:bookmarkEnd w:id="4"/>
    </w:p>
    <w:p w:rsidR="005054AB" w:rsidP="002A18E7" w:rsidRDefault="776C5350" w14:paraId="545ACF42" w14:textId="77777777">
      <w:pPr>
        <w:spacing w:line="276" w:lineRule="auto"/>
        <w:jc w:val="both"/>
        <w:rPr>
          <w:rFonts w:ascii="Calibri" w:hAnsi="Calibri" w:eastAsia="Calibri" w:cs="Calibri"/>
          <w:color w:val="auto"/>
        </w:rPr>
      </w:pPr>
      <w:r w:rsidRPr="1A970887">
        <w:rPr>
          <w:rFonts w:ascii="Calibri" w:hAnsi="Calibri" w:eastAsia="Calibri" w:cs="Calibri"/>
          <w:color w:val="auto"/>
        </w:rPr>
        <w:t xml:space="preserve">2.1 Personal data </w:t>
      </w:r>
    </w:p>
    <w:p w:rsidR="005054AB" w:rsidP="002A18E7" w:rsidRDefault="776C5350" w14:paraId="3ACDFD67" w14:textId="77777777">
      <w:pPr>
        <w:spacing w:after="0"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Specify the personal data (as defined in data protection laws) that will be collected, e.g. </w:t>
      </w:r>
    </w:p>
    <w:p w:rsidR="005054AB" w:rsidP="002A18E7" w:rsidRDefault="776C5350" w14:paraId="0B7F3DE0" w14:textId="77777777">
      <w:pPr>
        <w:spacing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name, address, email address, photographs in which individuals are identifiable, geolocation data, IP addresses. </w:t>
      </w:r>
    </w:p>
    <w:p w:rsidR="005054AB" w:rsidP="002A18E7" w:rsidRDefault="776C5350" w14:paraId="2B756B9B" w14:textId="77777777">
      <w:pPr>
        <w:spacing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A checklist of personal data is provided in the DMP. </w:t>
      </w:r>
    </w:p>
    <w:p w:rsidR="005054AB" w:rsidP="002A18E7" w:rsidRDefault="776C5350" w14:paraId="52ADD9BF" w14:textId="1EE56EF3">
      <w:pPr>
        <w:spacing w:line="276" w:lineRule="auto"/>
        <w:jc w:val="both"/>
        <w:rPr>
          <w:rFonts w:ascii="Calibri" w:hAnsi="Calibri" w:eastAsia="Calibri" w:cs="Calibri"/>
          <w:color w:val="auto"/>
        </w:rPr>
      </w:pPr>
      <w:r w:rsidRPr="1A970887">
        <w:rPr>
          <w:rFonts w:ascii="Calibri" w:hAnsi="Calibri" w:eastAsia="Calibri" w:cs="Calibri"/>
          <w:color w:val="auto"/>
        </w:rPr>
        <w:t>2.2 Special category</w:t>
      </w:r>
      <w:r w:rsidRPr="1A970887" w:rsidR="63E5A364">
        <w:rPr>
          <w:rFonts w:ascii="Calibri" w:hAnsi="Calibri" w:eastAsia="Calibri" w:cs="Calibri"/>
          <w:color w:val="auto"/>
        </w:rPr>
        <w:t>/</w:t>
      </w:r>
      <w:r w:rsidRPr="1A970887" w:rsidR="5437E5F1">
        <w:rPr>
          <w:rFonts w:ascii="Calibri" w:hAnsi="Calibri" w:eastAsia="Calibri" w:cs="Calibri"/>
          <w:color w:val="auto"/>
        </w:rPr>
        <w:t>Sensitive</w:t>
      </w:r>
      <w:r w:rsidRPr="1A970887">
        <w:rPr>
          <w:rFonts w:ascii="Calibri" w:hAnsi="Calibri" w:eastAsia="Calibri" w:cs="Calibri"/>
          <w:color w:val="auto"/>
        </w:rPr>
        <w:t xml:space="preserve"> data  </w:t>
      </w:r>
    </w:p>
    <w:p w:rsidR="005054AB" w:rsidP="002A18E7" w:rsidRDefault="776C5350" w14:paraId="72875651" w14:textId="77777777">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Specify any special category (sensitive) data you will collect, as defined in data protection laws, e.g. information about an individual’s health, political opinions, etc.  </w:t>
      </w:r>
    </w:p>
    <w:p w:rsidR="776C5350" w:rsidP="002A18E7" w:rsidRDefault="776C5350" w14:paraId="434FD541" w14:textId="3C7E01D0">
      <w:pPr>
        <w:spacing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A checklist of special category data is provided in the DMP. </w:t>
      </w:r>
    </w:p>
    <w:p w:rsidR="005054AB" w:rsidP="002A18E7" w:rsidRDefault="776C5350" w14:paraId="315F5DE7" w14:textId="77777777">
      <w:pPr>
        <w:spacing w:line="276" w:lineRule="auto"/>
        <w:jc w:val="both"/>
        <w:rPr>
          <w:rFonts w:ascii="Calibri" w:hAnsi="Calibri" w:eastAsia="Calibri" w:cs="Calibri"/>
          <w:color w:val="auto"/>
        </w:rPr>
      </w:pPr>
      <w:r w:rsidRPr="1A970887">
        <w:rPr>
          <w:rFonts w:ascii="Calibri" w:hAnsi="Calibri" w:eastAsia="Calibri" w:cs="Calibri"/>
          <w:color w:val="auto"/>
        </w:rPr>
        <w:t xml:space="preserve">Guidance </w:t>
      </w:r>
    </w:p>
    <w:p w:rsidR="005054AB" w:rsidP="002A18E7" w:rsidRDefault="776C5350" w14:paraId="32A23299" w14:textId="77777777">
      <w:pPr>
        <w:spacing w:after="267" w:line="276" w:lineRule="auto"/>
        <w:ind w:left="-5" w:right="70"/>
        <w:jc w:val="both"/>
        <w:rPr>
          <w:rFonts w:ascii="Calibri" w:hAnsi="Calibri" w:eastAsia="Calibri" w:cs="Calibri"/>
          <w:color w:val="auto"/>
        </w:rPr>
      </w:pPr>
      <w:r w:rsidRPr="1A970887">
        <w:rPr>
          <w:rFonts w:ascii="Calibri" w:hAnsi="Calibri" w:eastAsia="Calibri" w:cs="Calibri"/>
          <w:color w:val="auto"/>
        </w:rPr>
        <w:t xml:space="preserve">See the entries for Personal Data and Sensitive Personal Data in </w:t>
      </w:r>
      <w:hyperlink r:id="rId16">
        <w:r w:rsidRPr="1A970887">
          <w:rPr>
            <w:rFonts w:ascii="Calibri" w:hAnsi="Calibri" w:eastAsia="Calibri" w:cs="Calibri"/>
            <w:color w:val="auto"/>
            <w:u w:val="single"/>
          </w:rPr>
          <w:t>Data Protection For</w:t>
        </w:r>
      </w:hyperlink>
      <w:hyperlink r:id="rId17">
        <w:r w:rsidRPr="1A970887">
          <w:rPr>
            <w:rFonts w:ascii="Calibri" w:hAnsi="Calibri" w:eastAsia="Calibri" w:cs="Calibri"/>
            <w:color w:val="auto"/>
          </w:rPr>
          <w:t xml:space="preserve"> </w:t>
        </w:r>
      </w:hyperlink>
      <w:hyperlink r:id="rId18">
        <w:r w:rsidRPr="1A970887">
          <w:rPr>
            <w:rFonts w:ascii="Calibri" w:hAnsi="Calibri" w:eastAsia="Calibri" w:cs="Calibri"/>
            <w:color w:val="auto"/>
            <w:u w:val="single"/>
          </w:rPr>
          <w:t>Researchers</w:t>
        </w:r>
      </w:hyperlink>
      <w:hyperlink r:id="rId19">
        <w:r w:rsidRPr="1A970887">
          <w:rPr>
            <w:rFonts w:ascii="Calibri" w:hAnsi="Calibri" w:eastAsia="Calibri" w:cs="Calibri"/>
            <w:color w:val="auto"/>
          </w:rPr>
          <w:t>.</w:t>
        </w:r>
      </w:hyperlink>
      <w:r w:rsidRPr="1A970887">
        <w:rPr>
          <w:rFonts w:ascii="Calibri" w:hAnsi="Calibri" w:eastAsia="Calibri" w:cs="Calibri"/>
          <w:color w:val="auto"/>
        </w:rPr>
        <w:t xml:space="preserve"> Personal data may be contained in research data and administrative information relating to the research, such as signed consent forms and correspondence. </w:t>
      </w:r>
    </w:p>
    <w:p w:rsidR="1A970887" w:rsidP="002A18E7" w:rsidRDefault="1A970887" w14:paraId="07B208B7" w14:textId="2B222105">
      <w:pPr>
        <w:spacing w:after="267" w:line="276" w:lineRule="auto"/>
        <w:ind w:left="-5" w:right="70"/>
        <w:jc w:val="both"/>
        <w:rPr>
          <w:rFonts w:ascii="Calibri" w:hAnsi="Calibri" w:eastAsia="Calibri" w:cs="Calibri"/>
          <w:color w:val="auto"/>
        </w:rPr>
      </w:pPr>
    </w:p>
    <w:p w:rsidR="0008F0B6" w:rsidP="002A18E7" w:rsidRDefault="0008F0B6" w14:paraId="068E2FFA" w14:textId="3EC8481B">
      <w:pPr>
        <w:pStyle w:val="Heading2"/>
        <w:spacing w:line="276" w:lineRule="auto"/>
        <w:jc w:val="both"/>
        <w:rPr>
          <w:rFonts w:ascii="Calibri" w:hAnsi="Calibri" w:eastAsia="Calibri" w:cs="Calibri"/>
          <w:color w:val="auto"/>
        </w:rPr>
      </w:pPr>
      <w:bookmarkStart w:name="_Toc1618292387" w:id="5"/>
      <w:r w:rsidRPr="1A970887">
        <w:rPr>
          <w:rFonts w:ascii="Calibri" w:hAnsi="Calibri" w:eastAsia="Calibri" w:cs="Calibri"/>
          <w:color w:val="auto"/>
        </w:rPr>
        <w:t>3. LEGAL &amp; ETHICAL CONSIDERATIONS</w:t>
      </w:r>
      <w:bookmarkEnd w:id="5"/>
    </w:p>
    <w:p w:rsidR="17C0F4B6" w:rsidP="002A18E7" w:rsidRDefault="17C0F4B6" w14:paraId="7942DC11" w14:textId="0D16ABCD">
      <w:pPr>
        <w:spacing w:before="240" w:after="240" w:line="276" w:lineRule="auto"/>
        <w:jc w:val="both"/>
        <w:rPr>
          <w:rFonts w:ascii="Calibri" w:hAnsi="Calibri" w:eastAsia="Calibri" w:cs="Calibri"/>
          <w:color w:val="auto"/>
        </w:rPr>
      </w:pPr>
      <w:r w:rsidRPr="1A970887">
        <w:rPr>
          <w:rFonts w:ascii="Calibri" w:hAnsi="Calibri" w:eastAsia="Calibri" w:cs="Calibri"/>
          <w:color w:val="auto"/>
        </w:rPr>
        <w:t>3.1 How will you obtain consent?</w:t>
      </w:r>
    </w:p>
    <w:p w:rsidR="17C0F4B6" w:rsidP="002A18E7" w:rsidRDefault="17C0F4B6" w14:paraId="2DE8192A" w14:textId="126257F4">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Your consent process must be transparent, informed, and unambiguous. Participants must understand</w:t>
      </w:r>
      <w:r w:rsidR="00BA6E80">
        <w:rPr>
          <w:rFonts w:ascii="Calibri" w:hAnsi="Calibri" w:eastAsia="Calibri" w:cs="Calibri"/>
          <w:color w:val="auto"/>
          <w:lang w:val="en-US"/>
        </w:rPr>
        <w:t xml:space="preserve"> </w:t>
      </w:r>
      <w:r w:rsidRPr="1A970887">
        <w:rPr>
          <w:rFonts w:ascii="Calibri" w:hAnsi="Calibri" w:eastAsia="Calibri" w:cs="Calibri"/>
          <w:color w:val="auto"/>
          <w:lang w:val="en-US"/>
        </w:rPr>
        <w:t>what they are agreeing to and what their rights are, including the right to withdraw from the research. Y</w:t>
      </w:r>
    </w:p>
    <w:p w:rsidR="627337F3" w:rsidP="002A18E7" w:rsidRDefault="627337F3" w14:paraId="0BD6EBDB" w14:textId="5918453D">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Y</w:t>
      </w:r>
      <w:r w:rsidRPr="1A970887" w:rsidR="17C0F4B6">
        <w:rPr>
          <w:rFonts w:ascii="Calibri" w:hAnsi="Calibri" w:eastAsia="Calibri" w:cs="Calibri"/>
          <w:color w:val="auto"/>
          <w:lang w:val="en-US"/>
        </w:rPr>
        <w:t xml:space="preserve">ou should use separate checkboxes for distinct processing activities, such as for participation in the interview, for audio-recording the interview, and for agreeing to have their </w:t>
      </w:r>
      <w:proofErr w:type="spellStart"/>
      <w:r w:rsidRPr="1A970887" w:rsidR="17C0F4B6">
        <w:rPr>
          <w:rFonts w:ascii="Calibri" w:hAnsi="Calibri" w:eastAsia="Calibri" w:cs="Calibri"/>
          <w:color w:val="auto"/>
          <w:lang w:val="en-US"/>
        </w:rPr>
        <w:t>anonymised</w:t>
      </w:r>
      <w:proofErr w:type="spellEnd"/>
      <w:r w:rsidRPr="1A970887" w:rsidR="17C0F4B6">
        <w:rPr>
          <w:rFonts w:ascii="Calibri" w:hAnsi="Calibri" w:eastAsia="Calibri" w:cs="Calibri"/>
          <w:color w:val="auto"/>
          <w:lang w:val="en-US"/>
        </w:rPr>
        <w:t xml:space="preserve"> data shared in a public archive. </w:t>
      </w:r>
    </w:p>
    <w:p w:rsidR="17C0F4B6" w:rsidP="002A18E7" w:rsidRDefault="17C0F4B6" w14:paraId="2E12CFA0" w14:textId="059F2337">
      <w:pPr>
        <w:spacing w:before="240" w:after="240" w:line="276" w:lineRule="auto"/>
        <w:jc w:val="both"/>
        <w:rPr>
          <w:rFonts w:ascii="Calibri" w:hAnsi="Calibri" w:eastAsia="Calibri" w:cs="Calibri"/>
          <w:color w:val="auto"/>
        </w:rPr>
      </w:pPr>
      <w:r w:rsidRPr="1A970887">
        <w:rPr>
          <w:rFonts w:ascii="Calibri" w:hAnsi="Calibri" w:eastAsia="Calibri" w:cs="Calibri"/>
          <w:color w:val="auto"/>
        </w:rPr>
        <w:t>3.2 Who is the owner of the data?</w:t>
      </w:r>
    </w:p>
    <w:p w:rsidR="17C0F4B6" w:rsidP="002A18E7" w:rsidRDefault="17C0F4B6" w14:paraId="28638C67" w14:textId="56B74B75">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Data generated by IFOW employees as part of their work is owned by IFOW, which facilitates its long-term management and ensures institutional oversight. If you are working with external academic or commercial partners, a formal collaboration agreement that specifies data ownership and usage rights must be in place before the project begins to avoid future disputes. If your project is funded, check your funding agreement for any specific terms related to data ownership and sharing, as funders often have their own requirements.</w:t>
      </w:r>
    </w:p>
    <w:p w:rsidR="17C0F4B6" w:rsidP="002A18E7" w:rsidRDefault="17C0F4B6" w14:paraId="79CCCAF2" w14:textId="1632998F">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3.3 Are there any other restrictions on how the data may be used or shared?</w:t>
      </w:r>
    </w:p>
    <w:p w:rsidR="17C0F4B6" w:rsidP="002A18E7" w:rsidRDefault="17C0F4B6" w14:paraId="65B34FFC" w14:textId="319CE06B">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Declare any other restrictions on data use. For example, if you are using a pre-existing dataset from another </w:t>
      </w:r>
      <w:proofErr w:type="spellStart"/>
      <w:r w:rsidRPr="1A970887">
        <w:rPr>
          <w:rFonts w:ascii="Calibri" w:hAnsi="Calibri" w:eastAsia="Calibri" w:cs="Calibri"/>
          <w:color w:val="auto"/>
          <w:lang w:val="en-US"/>
        </w:rPr>
        <w:t>organisation</w:t>
      </w:r>
      <w:proofErr w:type="spellEnd"/>
      <w:r w:rsidRPr="1A970887">
        <w:rPr>
          <w:rFonts w:ascii="Calibri" w:hAnsi="Calibri" w:eastAsia="Calibri" w:cs="Calibri"/>
          <w:color w:val="auto"/>
          <w:lang w:val="en-US"/>
        </w:rPr>
        <w:t xml:space="preserve">, the data sharing agreement may place restrictions on how the data can be used (e.g., for non-commercial purposes only) or for how long. Publishers may also require an embargo period before data can be made public to protect the novelty of the publication. </w:t>
      </w:r>
    </w:p>
    <w:p w:rsidR="1A970887" w:rsidP="00CF72DE" w:rsidRDefault="1A970887" w14:paraId="6FD5CDBE" w14:textId="6D8546E3">
      <w:pPr>
        <w:spacing w:after="69" w:line="276" w:lineRule="auto"/>
        <w:ind w:left="0" w:right="0" w:firstLine="0"/>
        <w:jc w:val="both"/>
        <w:rPr>
          <w:rFonts w:ascii="Calibri" w:hAnsi="Calibri" w:eastAsia="Calibri" w:cs="Calibri"/>
          <w:b/>
          <w:bCs/>
          <w:color w:val="auto"/>
        </w:rPr>
      </w:pPr>
    </w:p>
    <w:p w:rsidR="005054AB" w:rsidP="002A18E7" w:rsidRDefault="4CD7348F" w14:paraId="137BDC98" w14:textId="3EFE58A6">
      <w:pPr>
        <w:pStyle w:val="Heading2"/>
        <w:spacing w:line="276" w:lineRule="auto"/>
        <w:jc w:val="both"/>
        <w:rPr>
          <w:rFonts w:ascii="Calibri" w:hAnsi="Calibri" w:eastAsia="Calibri" w:cs="Calibri"/>
          <w:color w:val="auto"/>
        </w:rPr>
      </w:pPr>
      <w:bookmarkStart w:name="_Toc2119253479" w:id="6"/>
      <w:r w:rsidRPr="1A970887">
        <w:rPr>
          <w:rFonts w:ascii="Calibri" w:hAnsi="Calibri" w:eastAsia="Calibri" w:cs="Calibri"/>
          <w:color w:val="auto"/>
        </w:rPr>
        <w:t>4</w:t>
      </w:r>
      <w:r w:rsidRPr="1A970887" w:rsidR="776C5350">
        <w:rPr>
          <w:rFonts w:ascii="Calibri" w:hAnsi="Calibri" w:eastAsia="Calibri" w:cs="Calibri"/>
          <w:color w:val="auto"/>
        </w:rPr>
        <w:t xml:space="preserve">. </w:t>
      </w:r>
      <w:r w:rsidRPr="1A970887" w:rsidR="74C7E1F7">
        <w:rPr>
          <w:rFonts w:ascii="Calibri" w:hAnsi="Calibri" w:eastAsia="Calibri" w:cs="Calibri"/>
          <w:color w:val="auto"/>
        </w:rPr>
        <w:t>DATA STORAGE &amp; SECURITY (DURING PROJECT)</w:t>
      </w:r>
      <w:bookmarkEnd w:id="6"/>
    </w:p>
    <w:p w:rsidR="005054AB" w:rsidP="002A18E7" w:rsidRDefault="7DBDB9E1" w14:paraId="11CA71DD" w14:textId="019613CB">
      <w:pPr>
        <w:spacing w:line="276" w:lineRule="auto"/>
        <w:jc w:val="both"/>
        <w:rPr>
          <w:rFonts w:ascii="Calibri" w:hAnsi="Calibri" w:eastAsia="Calibri" w:cs="Calibri"/>
          <w:color w:val="auto"/>
        </w:rPr>
      </w:pPr>
      <w:r w:rsidRPr="1A970887">
        <w:rPr>
          <w:rFonts w:ascii="Calibri" w:hAnsi="Calibri" w:eastAsia="Calibri" w:cs="Calibri"/>
          <w:color w:val="auto"/>
        </w:rPr>
        <w:t>4</w:t>
      </w:r>
      <w:r w:rsidRPr="1A970887" w:rsidR="776C5350">
        <w:rPr>
          <w:rFonts w:ascii="Calibri" w:hAnsi="Calibri" w:eastAsia="Calibri" w:cs="Calibri"/>
          <w:color w:val="auto"/>
        </w:rPr>
        <w:t xml:space="preserve">.1 </w:t>
      </w:r>
      <w:r w:rsidRPr="1A970887" w:rsidR="582B8F32">
        <w:rPr>
          <w:rFonts w:ascii="Calibri" w:hAnsi="Calibri" w:eastAsia="Calibri" w:cs="Calibri"/>
          <w:color w:val="auto"/>
        </w:rPr>
        <w:t>How and where will data be stored and secured?</w:t>
      </w:r>
    </w:p>
    <w:p w:rsidR="582B8F32" w:rsidP="002A18E7" w:rsidRDefault="582B8F32" w14:paraId="7B81A6CE" w14:textId="64A8E3F9">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Identify all locations where data will reside, even temporarily. </w:t>
      </w:r>
    </w:p>
    <w:p w:rsidR="582B8F32" w:rsidP="002A18E7" w:rsidRDefault="582B8F32" w14:paraId="18BD9C18" w14:textId="7EE2DB7F">
      <w:pPr>
        <w:pStyle w:val="ListParagraph"/>
        <w:numPr>
          <w:ilvl w:val="0"/>
          <w:numId w:val="4"/>
        </w:num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The primary location for all project data should be a secure, access-controlled folder on IFOW’s SharePoint. You must also account for data on other devices, such as encrypted audio recorders, work laptops, and any physical data. </w:t>
      </w:r>
    </w:p>
    <w:p w:rsidR="582B8F32" w:rsidP="002A18E7" w:rsidRDefault="582B8F32" w14:paraId="2B8E64B9" w14:textId="3F9127E9">
      <w:pPr>
        <w:pStyle w:val="ListParagraph"/>
        <w:numPr>
          <w:ilvl w:val="0"/>
          <w:numId w:val="4"/>
        </w:num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For highly sensitive data, a "two barriers" principle should be applied </w:t>
      </w:r>
      <w:r w:rsidR="00E901A9">
        <w:rPr>
          <w:rFonts w:ascii="Calibri" w:hAnsi="Calibri" w:eastAsia="Calibri" w:cs="Calibri"/>
          <w:color w:val="auto"/>
          <w:lang w:val="en-US"/>
        </w:rPr>
        <w:t>(e.g. restricted folder within restricted Team on SharePoint)</w:t>
      </w:r>
      <w:r w:rsidRPr="1A970887">
        <w:rPr>
          <w:rFonts w:ascii="Calibri" w:hAnsi="Calibri" w:eastAsia="Calibri" w:cs="Calibri"/>
          <w:color w:val="auto"/>
          <w:lang w:val="en-US"/>
        </w:rPr>
        <w:t xml:space="preserve"> </w:t>
      </w:r>
    </w:p>
    <w:p w:rsidR="582B8F32" w:rsidP="002A18E7" w:rsidRDefault="582B8F32" w14:paraId="7DEADD7F" w14:textId="0A06EBD8">
      <w:pPr>
        <w:pStyle w:val="ListParagraph"/>
        <w:numPr>
          <w:ilvl w:val="0"/>
          <w:numId w:val="4"/>
        </w:num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For each location, specify the security measures in place (e.g., full-disk encryption, strong passwords with two-factor authentication, physical access controls). </w:t>
      </w:r>
    </w:p>
    <w:p w:rsidR="1A970887" w:rsidP="002A18E7" w:rsidRDefault="1A970887" w14:paraId="27D2C394" w14:textId="10A452D0">
      <w:pPr>
        <w:spacing w:line="276" w:lineRule="auto"/>
        <w:jc w:val="both"/>
        <w:rPr>
          <w:rFonts w:ascii="Calibri" w:hAnsi="Calibri" w:eastAsia="Calibri" w:cs="Calibri"/>
          <w:color w:val="auto"/>
          <w:lang w:val="en-US"/>
        </w:rPr>
      </w:pPr>
    </w:p>
    <w:p w:rsidR="655E1C96" w:rsidP="002A18E7" w:rsidRDefault="655E1C96" w14:paraId="7E5F90B4" w14:textId="73195A2E">
      <w:pPr>
        <w:spacing w:line="276" w:lineRule="auto"/>
        <w:jc w:val="both"/>
        <w:rPr>
          <w:rFonts w:ascii="Calibri" w:hAnsi="Calibri" w:eastAsia="Calibri" w:cs="Calibri"/>
          <w:color w:val="auto"/>
        </w:rPr>
      </w:pPr>
      <w:r w:rsidRPr="1A970887">
        <w:rPr>
          <w:rFonts w:ascii="Calibri" w:hAnsi="Calibri" w:eastAsia="Calibri" w:cs="Calibri"/>
          <w:color w:val="auto"/>
        </w:rPr>
        <w:t>4.2 Describe measures to control the risks of inappropriate disclosure</w:t>
      </w:r>
    </w:p>
    <w:p w:rsidR="655E1C96" w:rsidP="002A18E7" w:rsidRDefault="655E1C96" w14:paraId="128E1F51" w14:textId="097BB520">
      <w:pPr>
        <w:spacing w:line="276" w:lineRule="auto"/>
        <w:jc w:val="both"/>
        <w:rPr>
          <w:rFonts w:ascii="Calibri" w:hAnsi="Calibri" w:eastAsia="Calibri" w:cs="Calibri"/>
          <w:color w:val="auto"/>
          <w:lang w:val="en-US"/>
        </w:rPr>
      </w:pPr>
      <w:proofErr w:type="spellStart"/>
      <w:r w:rsidRPr="1A970887">
        <w:rPr>
          <w:rFonts w:ascii="Calibri" w:hAnsi="Calibri" w:eastAsia="Calibri" w:cs="Calibri"/>
          <w:color w:val="auto"/>
          <w:lang w:val="en-US"/>
        </w:rPr>
        <w:t>Minimise</w:t>
      </w:r>
      <w:proofErr w:type="spellEnd"/>
      <w:r w:rsidRPr="1A970887">
        <w:rPr>
          <w:rFonts w:ascii="Calibri" w:hAnsi="Calibri" w:eastAsia="Calibri" w:cs="Calibri"/>
          <w:color w:val="auto"/>
          <w:lang w:val="en-US"/>
        </w:rPr>
        <w:t xml:space="preserve"> risks at every stage:</w:t>
      </w:r>
    </w:p>
    <w:p w:rsidR="655E1C96" w:rsidP="002A18E7" w:rsidRDefault="655E1C96" w14:paraId="5CA94EE2" w14:textId="23399F57">
      <w:pPr>
        <w:pStyle w:val="ListParagraph"/>
        <w:numPr>
          <w:ilvl w:val="0"/>
          <w:numId w:val="3"/>
        </w:numPr>
        <w:spacing w:line="276" w:lineRule="auto"/>
        <w:jc w:val="both"/>
        <w:rPr>
          <w:rFonts w:ascii="Calibri" w:hAnsi="Calibri" w:eastAsia="Calibri" w:cs="Calibri"/>
          <w:color w:val="auto"/>
          <w:lang w:val="en-US"/>
        </w:rPr>
      </w:pPr>
      <w:proofErr w:type="spellStart"/>
      <w:r w:rsidRPr="1A970887">
        <w:rPr>
          <w:rFonts w:ascii="Calibri" w:hAnsi="Calibri" w:eastAsia="Calibri" w:cs="Calibri"/>
          <w:color w:val="auto"/>
          <w:lang w:val="en-US"/>
        </w:rPr>
        <w:t>Pseudonymisation</w:t>
      </w:r>
      <w:proofErr w:type="spellEnd"/>
      <w:r w:rsidRPr="1A970887">
        <w:rPr>
          <w:rFonts w:ascii="Calibri" w:hAnsi="Calibri" w:eastAsia="Calibri" w:cs="Calibri"/>
          <w:color w:val="auto"/>
          <w:lang w:val="en-US"/>
        </w:rPr>
        <w:t>: As soon as possible after data collection (e.g., after transcribing an interview), remove direct identifiers from your main research dataset and replace them with participant IDs. The list linking IDs to names (the 'key') must be stored in a separate file in a different, highly secure location, with access strictly limited to the PI.</w:t>
      </w:r>
    </w:p>
    <w:p w:rsidR="655E1C96" w:rsidP="002A18E7" w:rsidRDefault="655E1C96" w14:paraId="65BB95BF" w14:textId="3EB4FE78">
      <w:pPr>
        <w:pStyle w:val="ListParagraph"/>
        <w:numPr>
          <w:ilvl w:val="0"/>
          <w:numId w:val="3"/>
        </w:num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Secure Transfer: Do not send personal or sensitive data via email, as it is not a secure method. Use IFOW’s SharePoint to share files within the project team.</w:t>
      </w:r>
    </w:p>
    <w:p w:rsidR="655E1C96" w:rsidP="002A18E7" w:rsidRDefault="655E1C96" w14:paraId="2DE4BFC3" w14:textId="083C88FA">
      <w:pPr>
        <w:pStyle w:val="ListParagraph"/>
        <w:numPr>
          <w:ilvl w:val="0"/>
          <w:numId w:val="3"/>
        </w:num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Encryption: Data should be deleted from portable devices as soon as it has been securely transferred to the primary SharePoint location using a verified process.</w:t>
      </w:r>
    </w:p>
    <w:p w:rsidR="1A970887" w:rsidP="002A18E7" w:rsidRDefault="1A970887" w14:paraId="7DE2F0FE" w14:textId="5B0A60AD">
      <w:pPr>
        <w:pStyle w:val="ListParagraph"/>
        <w:spacing w:line="276" w:lineRule="auto"/>
        <w:jc w:val="both"/>
        <w:rPr>
          <w:rFonts w:ascii="Calibri" w:hAnsi="Calibri" w:eastAsia="Calibri" w:cs="Calibri"/>
          <w:color w:val="auto"/>
          <w:lang w:val="en-US"/>
        </w:rPr>
      </w:pPr>
    </w:p>
    <w:p w:rsidR="005054AB" w:rsidP="002A18E7" w:rsidRDefault="6CD0B579" w14:paraId="5B7D85CA" w14:textId="517BE965">
      <w:pPr>
        <w:spacing w:line="276" w:lineRule="auto"/>
        <w:jc w:val="both"/>
        <w:rPr>
          <w:rFonts w:ascii="Calibri" w:hAnsi="Calibri" w:eastAsia="Calibri" w:cs="Calibri"/>
          <w:color w:val="auto"/>
        </w:rPr>
      </w:pPr>
      <w:r w:rsidRPr="1A970887">
        <w:rPr>
          <w:rFonts w:ascii="Calibri" w:hAnsi="Calibri" w:eastAsia="Calibri" w:cs="Calibri"/>
          <w:color w:val="auto"/>
        </w:rPr>
        <w:t>4</w:t>
      </w:r>
      <w:r w:rsidRPr="1A970887" w:rsidR="776C5350">
        <w:rPr>
          <w:rFonts w:ascii="Calibri" w:hAnsi="Calibri" w:eastAsia="Calibri" w:cs="Calibri"/>
          <w:color w:val="auto"/>
        </w:rPr>
        <w:t xml:space="preserve">.3 </w:t>
      </w:r>
      <w:r w:rsidRPr="1A970887" w:rsidR="7D9BA995">
        <w:rPr>
          <w:rFonts w:ascii="Calibri" w:hAnsi="Calibri" w:eastAsia="Calibri" w:cs="Calibri"/>
          <w:color w:val="auto"/>
        </w:rPr>
        <w:t>How will data be backed up?</w:t>
      </w:r>
    </w:p>
    <w:p w:rsidR="12999B6C" w:rsidP="002A18E7" w:rsidRDefault="12999B6C" w14:paraId="1D8023BB" w14:textId="15791379">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Data stored on IFOW’s SharePoint is backed up automatically and regularly, which is why it should be your primary storage location. If you are temporarily storing data elsewhere (which should be avoided), you are responsible for ensuring it is backed up securely to prevent data loss. </w:t>
      </w:r>
    </w:p>
    <w:p w:rsidR="1A970887" w:rsidP="002A18E7" w:rsidRDefault="1A970887" w14:paraId="48E46249" w14:textId="5A66C3C1">
      <w:pPr>
        <w:spacing w:line="276" w:lineRule="auto"/>
        <w:jc w:val="both"/>
        <w:rPr>
          <w:rFonts w:ascii="Calibri" w:hAnsi="Calibri" w:eastAsia="Calibri" w:cs="Calibri"/>
          <w:b/>
          <w:bCs/>
          <w:color w:val="auto"/>
        </w:rPr>
      </w:pPr>
    </w:p>
    <w:p w:rsidR="12999B6C" w:rsidP="002A18E7" w:rsidRDefault="12999B6C" w14:paraId="54EECB81" w14:textId="3F5D40AA">
      <w:pPr>
        <w:pStyle w:val="Heading2"/>
        <w:spacing w:line="276" w:lineRule="auto"/>
        <w:jc w:val="both"/>
        <w:rPr>
          <w:rFonts w:ascii="Calibri" w:hAnsi="Calibri" w:eastAsia="Calibri" w:cs="Calibri"/>
          <w:color w:val="auto"/>
          <w:lang w:val="en"/>
        </w:rPr>
      </w:pPr>
      <w:bookmarkStart w:name="_Toc564309599" w:id="7"/>
      <w:r w:rsidRPr="1A970887">
        <w:rPr>
          <w:rFonts w:ascii="Calibri" w:hAnsi="Calibri" w:eastAsia="Calibri" w:cs="Calibri"/>
          <w:color w:val="auto"/>
          <w:lang w:val="en"/>
        </w:rPr>
        <w:t>5. DATA PRESERVATION &amp; SHARING (AFTER PROJECT)</w:t>
      </w:r>
      <w:bookmarkEnd w:id="7"/>
    </w:p>
    <w:p w:rsidR="319C1076" w:rsidP="002A18E7" w:rsidRDefault="319C1076" w14:paraId="6F074878" w14:textId="67F94934">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Most research data collected from research participants can be safely and ethically shared once they have been </w:t>
      </w:r>
      <w:proofErr w:type="spellStart"/>
      <w:r w:rsidRPr="1A970887">
        <w:rPr>
          <w:rFonts w:ascii="Calibri" w:hAnsi="Calibri" w:eastAsia="Calibri" w:cs="Calibri"/>
          <w:color w:val="auto"/>
          <w:lang w:val="en-US"/>
        </w:rPr>
        <w:t>anonymised</w:t>
      </w:r>
      <w:proofErr w:type="spellEnd"/>
      <w:r w:rsidRPr="1A970887">
        <w:rPr>
          <w:rFonts w:ascii="Calibri" w:hAnsi="Calibri" w:eastAsia="Calibri" w:cs="Calibri"/>
          <w:color w:val="auto"/>
          <w:lang w:val="en-US"/>
        </w:rPr>
        <w:t xml:space="preserve"> (i.e. identifying information has been removed), and it is often possible to redact information that is confidential for other reasons. It is not acceptable simply to state that research data cannot be shared for confidential reasons. If you do not intend to share data, you must explain why they are not suitable for sharing.   </w:t>
      </w:r>
    </w:p>
    <w:p w:rsidR="319C1076" w:rsidP="002A18E7" w:rsidRDefault="319C1076" w14:paraId="5BC5C852" w14:textId="54106F6C">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Be aware that </w:t>
      </w:r>
      <w:proofErr w:type="gramStart"/>
      <w:r w:rsidRPr="1A970887">
        <w:rPr>
          <w:rFonts w:ascii="Calibri" w:hAnsi="Calibri" w:eastAsia="Calibri" w:cs="Calibri"/>
          <w:color w:val="auto"/>
          <w:lang w:val="en-US"/>
        </w:rPr>
        <w:t>in order for</w:t>
      </w:r>
      <w:proofErr w:type="gramEnd"/>
      <w:r w:rsidRPr="1A970887">
        <w:rPr>
          <w:rFonts w:ascii="Calibri" w:hAnsi="Calibri" w:eastAsia="Calibri" w:cs="Calibri"/>
          <w:color w:val="auto"/>
          <w:lang w:val="en-US"/>
        </w:rPr>
        <w:t xml:space="preserve"> </w:t>
      </w:r>
      <w:r w:rsidRPr="1A970887" w:rsidR="00305DCC">
        <w:rPr>
          <w:rFonts w:ascii="Calibri" w:hAnsi="Calibri" w:eastAsia="Calibri" w:cs="Calibri"/>
          <w:color w:val="auto"/>
          <w:lang w:val="en-US"/>
        </w:rPr>
        <w:t>publicly disclosed</w:t>
      </w:r>
      <w:r w:rsidRPr="1A970887">
        <w:rPr>
          <w:rFonts w:ascii="Calibri" w:hAnsi="Calibri" w:eastAsia="Calibri" w:cs="Calibri"/>
          <w:color w:val="auto"/>
          <w:lang w:val="en-US"/>
        </w:rPr>
        <w:t xml:space="preserve"> data to be fully </w:t>
      </w:r>
      <w:proofErr w:type="spellStart"/>
      <w:r w:rsidRPr="1A970887">
        <w:rPr>
          <w:rFonts w:ascii="Calibri" w:hAnsi="Calibri" w:eastAsia="Calibri" w:cs="Calibri"/>
          <w:color w:val="auto"/>
          <w:lang w:val="en-US"/>
        </w:rPr>
        <w:t>anonymised</w:t>
      </w:r>
      <w:proofErr w:type="spellEnd"/>
      <w:r w:rsidRPr="1A970887">
        <w:rPr>
          <w:rFonts w:ascii="Calibri" w:hAnsi="Calibri" w:eastAsia="Calibri" w:cs="Calibri"/>
          <w:color w:val="auto"/>
          <w:lang w:val="en-US"/>
        </w:rPr>
        <w:t xml:space="preserve">, any means of linking them to participant records stored internally should be destroyed. If you have used pseudonymous key codes in your dataset which are linked to internal participant records, the key codes in the public dataset should be replaced by random identifiers or the link table destroyed. </w:t>
      </w:r>
    </w:p>
    <w:p w:rsidR="319C1076" w:rsidP="002A18E7" w:rsidRDefault="319C1076" w14:paraId="79076952" w14:textId="4CB740C9">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Where data cannot be rendered safe for sharing as open data (for example, where identifying information is intrinsic to the data and cannot be removed, or where data can be </w:t>
      </w:r>
      <w:proofErr w:type="spellStart"/>
      <w:r w:rsidRPr="1A970887">
        <w:rPr>
          <w:rFonts w:ascii="Calibri" w:hAnsi="Calibri" w:eastAsia="Calibri" w:cs="Calibri"/>
          <w:color w:val="auto"/>
          <w:lang w:val="en-US"/>
        </w:rPr>
        <w:t>anonymised</w:t>
      </w:r>
      <w:proofErr w:type="spellEnd"/>
      <w:r w:rsidRPr="1A970887">
        <w:rPr>
          <w:rFonts w:ascii="Calibri" w:hAnsi="Calibri" w:eastAsia="Calibri" w:cs="Calibri"/>
          <w:color w:val="auto"/>
          <w:lang w:val="en-US"/>
        </w:rPr>
        <w:t xml:space="preserve">, but may present a higher risk of reidentification through linkage to other information), it may still be possible to share them with </w:t>
      </w:r>
      <w:proofErr w:type="spellStart"/>
      <w:r w:rsidRPr="1A970887">
        <w:rPr>
          <w:rFonts w:ascii="Calibri" w:hAnsi="Calibri" w:eastAsia="Calibri" w:cs="Calibri"/>
          <w:color w:val="auto"/>
          <w:lang w:val="en-US"/>
        </w:rPr>
        <w:t>authorised</w:t>
      </w:r>
      <w:proofErr w:type="spellEnd"/>
      <w:r w:rsidRPr="1A970887">
        <w:rPr>
          <w:rFonts w:ascii="Calibri" w:hAnsi="Calibri" w:eastAsia="Calibri" w:cs="Calibri"/>
          <w:color w:val="auto"/>
          <w:lang w:val="en-US"/>
        </w:rPr>
        <w:t xml:space="preserve"> users on a restricted basis. Some data repositories provide controlled access procedures for managing safe access to confidential research data. For example:  </w:t>
      </w:r>
    </w:p>
    <w:p w:rsidR="319C1076" w:rsidP="002A18E7" w:rsidRDefault="319C1076" w14:paraId="23AA7C59" w14:textId="7C754A78">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Consent is not required to share </w:t>
      </w:r>
      <w:proofErr w:type="spellStart"/>
      <w:r w:rsidRPr="1A970887">
        <w:rPr>
          <w:rFonts w:ascii="Calibri" w:hAnsi="Calibri" w:eastAsia="Calibri" w:cs="Calibri"/>
          <w:color w:val="auto"/>
          <w:lang w:val="en-US"/>
        </w:rPr>
        <w:t>anonymised</w:t>
      </w:r>
      <w:proofErr w:type="spellEnd"/>
      <w:r w:rsidRPr="1A970887">
        <w:rPr>
          <w:rFonts w:ascii="Calibri" w:hAnsi="Calibri" w:eastAsia="Calibri" w:cs="Calibri"/>
          <w:color w:val="auto"/>
          <w:lang w:val="en-US"/>
        </w:rPr>
        <w:t xml:space="preserve"> data, although as a matter of good practice research participants should always be informed of plans to make any data collected from them available to others.   </w:t>
      </w:r>
    </w:p>
    <w:p w:rsidR="1A970887" w:rsidP="002A18E7" w:rsidRDefault="1A970887" w14:paraId="47229DF8" w14:textId="204710D7">
      <w:pPr>
        <w:spacing w:line="276" w:lineRule="auto"/>
        <w:jc w:val="both"/>
        <w:rPr>
          <w:rFonts w:ascii="Calibri" w:hAnsi="Calibri" w:eastAsia="Calibri" w:cs="Calibri"/>
          <w:color w:val="auto"/>
          <w:lang w:val="en-US"/>
        </w:rPr>
      </w:pPr>
    </w:p>
    <w:p w:rsidR="12999B6C" w:rsidP="002A18E7" w:rsidRDefault="12999B6C" w14:paraId="25C3F0CE" w14:textId="784DC369">
      <w:pPr>
        <w:spacing w:line="276" w:lineRule="auto"/>
        <w:jc w:val="both"/>
        <w:rPr>
          <w:rFonts w:ascii="Calibri" w:hAnsi="Calibri" w:eastAsia="Calibri" w:cs="Calibri"/>
          <w:color w:val="auto"/>
        </w:rPr>
      </w:pPr>
      <w:r w:rsidRPr="1A970887">
        <w:rPr>
          <w:rFonts w:ascii="Calibri" w:hAnsi="Calibri" w:eastAsia="Calibri" w:cs="Calibri"/>
          <w:color w:val="auto"/>
        </w:rPr>
        <w:t>5</w:t>
      </w:r>
      <w:r w:rsidRPr="1A970887" w:rsidR="776C5350">
        <w:rPr>
          <w:rFonts w:ascii="Calibri" w:hAnsi="Calibri" w:eastAsia="Calibri" w:cs="Calibri"/>
          <w:color w:val="auto"/>
        </w:rPr>
        <w:t xml:space="preserve">.1 </w:t>
      </w:r>
      <w:r w:rsidRPr="1A970887" w:rsidR="79D04C48">
        <w:rPr>
          <w:rFonts w:ascii="Calibri" w:hAnsi="Calibri" w:eastAsia="Calibri" w:cs="Calibri"/>
          <w:color w:val="auto"/>
        </w:rPr>
        <w:t>What data will be preserved and shared long-term?</w:t>
      </w:r>
    </w:p>
    <w:p w:rsidR="79D04C48" w:rsidP="002A18E7" w:rsidRDefault="79D04C48" w14:paraId="00601689" w14:textId="789FF3F7">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IFOW is committed to making the outputs of its research, including the underlying data where possible, as open as is appropriate. This enhances transparency, allows for verification of findings, and provides a valuable resource for the wider research community.</w:t>
      </w:r>
    </w:p>
    <w:p w:rsidR="79D04C48" w:rsidP="002A18E7" w:rsidRDefault="79D04C48" w14:paraId="1B48FB76" w14:textId="1F6DD66A">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You should identify which data will be fully </w:t>
      </w:r>
      <w:proofErr w:type="spellStart"/>
      <w:r w:rsidRPr="1A970887">
        <w:rPr>
          <w:rFonts w:ascii="Calibri" w:hAnsi="Calibri" w:eastAsia="Calibri" w:cs="Calibri"/>
          <w:color w:val="auto"/>
          <w:lang w:val="en-US"/>
        </w:rPr>
        <w:t>anonymised</w:t>
      </w:r>
      <w:proofErr w:type="spellEnd"/>
      <w:r w:rsidRPr="1A970887">
        <w:rPr>
          <w:rFonts w:ascii="Calibri" w:hAnsi="Calibri" w:eastAsia="Calibri" w:cs="Calibri"/>
          <w:color w:val="auto"/>
          <w:lang w:val="en-US"/>
        </w:rPr>
        <w:t xml:space="preserve"> and prepared for sharing. It is not acceptable to simply state that data cannot be shared for confidentiality reasons; you must provide a clear and robust justification if data will be withheld (e.g., if it is impossible to </w:t>
      </w:r>
      <w:proofErr w:type="spellStart"/>
      <w:r w:rsidRPr="1A970887">
        <w:rPr>
          <w:rFonts w:ascii="Calibri" w:hAnsi="Calibri" w:eastAsia="Calibri" w:cs="Calibri"/>
          <w:color w:val="auto"/>
          <w:lang w:val="en-US"/>
        </w:rPr>
        <w:t>anonymise</w:t>
      </w:r>
      <w:proofErr w:type="spellEnd"/>
      <w:r w:rsidRPr="1A970887">
        <w:rPr>
          <w:rFonts w:ascii="Calibri" w:hAnsi="Calibri" w:eastAsia="Calibri" w:cs="Calibri"/>
          <w:color w:val="auto"/>
          <w:lang w:val="en-US"/>
        </w:rPr>
        <w:t xml:space="preserve"> without destroying the data's utility, or if the consent obtained does not permit it).</w:t>
      </w:r>
    </w:p>
    <w:p w:rsidR="1A970887" w:rsidP="002A18E7" w:rsidRDefault="1A970887" w14:paraId="0F780E33" w14:textId="1AF158DC">
      <w:pPr>
        <w:spacing w:line="276" w:lineRule="auto"/>
        <w:ind w:left="-5" w:right="70"/>
        <w:jc w:val="both"/>
        <w:rPr>
          <w:rFonts w:ascii="Calibri" w:hAnsi="Calibri" w:eastAsia="Calibri" w:cs="Calibri"/>
          <w:color w:val="auto"/>
          <w:lang w:val="en-US"/>
        </w:rPr>
      </w:pPr>
    </w:p>
    <w:p w:rsidR="79D04C48" w:rsidP="002A18E7" w:rsidRDefault="79D04C48" w14:paraId="63A10951" w14:textId="403BD853">
      <w:pPr>
        <w:spacing w:before="240" w:after="240" w:line="276" w:lineRule="auto"/>
        <w:jc w:val="both"/>
        <w:rPr>
          <w:rFonts w:ascii="Calibri" w:hAnsi="Calibri" w:eastAsia="Calibri" w:cs="Calibri"/>
          <w:color w:val="auto"/>
        </w:rPr>
      </w:pPr>
      <w:r w:rsidRPr="1A970887">
        <w:rPr>
          <w:rFonts w:ascii="Calibri" w:hAnsi="Calibri" w:eastAsia="Calibri" w:cs="Calibri"/>
          <w:color w:val="auto"/>
        </w:rPr>
        <w:t>5.2 How will you prepare data for sharing?</w:t>
      </w:r>
    </w:p>
    <w:p w:rsidR="005054AB" w:rsidP="002A18E7" w:rsidRDefault="79D04C48" w14:paraId="73102E2A" w14:textId="57AE0682">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This is process that involves robust </w:t>
      </w:r>
      <w:proofErr w:type="spellStart"/>
      <w:r w:rsidRPr="1A970887">
        <w:rPr>
          <w:rFonts w:ascii="Calibri" w:hAnsi="Calibri" w:eastAsia="Calibri" w:cs="Calibri"/>
          <w:color w:val="auto"/>
          <w:lang w:val="en-US"/>
        </w:rPr>
        <w:t>anonymisation</w:t>
      </w:r>
      <w:proofErr w:type="spellEnd"/>
      <w:r w:rsidRPr="1A970887">
        <w:rPr>
          <w:rFonts w:ascii="Calibri" w:hAnsi="Calibri" w:eastAsia="Calibri" w:cs="Calibri"/>
          <w:color w:val="auto"/>
          <w:lang w:val="en-US"/>
        </w:rPr>
        <w:t xml:space="preserve">. </w:t>
      </w:r>
    </w:p>
    <w:p w:rsidR="005054AB" w:rsidP="002A18E7" w:rsidRDefault="79D04C48" w14:paraId="73D21361" w14:textId="1FE6AE78">
      <w:pPr>
        <w:pStyle w:val="ListParagraph"/>
        <w:numPr>
          <w:ilvl w:val="0"/>
          <w:numId w:val="1"/>
        </w:numPr>
        <w:spacing w:line="276" w:lineRule="auto"/>
        <w:ind w:right="70"/>
        <w:jc w:val="both"/>
        <w:rPr>
          <w:rFonts w:ascii="Calibri" w:hAnsi="Calibri" w:eastAsia="Calibri" w:cs="Calibri"/>
          <w:color w:val="auto"/>
          <w:lang w:val="en-US"/>
        </w:rPr>
      </w:pPr>
      <w:r w:rsidRPr="1A970887">
        <w:rPr>
          <w:rFonts w:ascii="Calibri" w:hAnsi="Calibri" w:eastAsia="Calibri" w:cs="Calibri"/>
          <w:color w:val="auto"/>
          <w:lang w:val="en-US"/>
        </w:rPr>
        <w:t xml:space="preserve">For quantitative data, this means removing all direct identifiers and potentially aggregating or blurring categories for indirect identifiers (e.g., replacing precise age with an age band, or combining rare job titles into a broader category). </w:t>
      </w:r>
    </w:p>
    <w:p w:rsidR="005054AB" w:rsidP="002A18E7" w:rsidRDefault="79D04C48" w14:paraId="349EADFB" w14:textId="47BF79BA">
      <w:pPr>
        <w:pStyle w:val="ListParagraph"/>
        <w:numPr>
          <w:ilvl w:val="0"/>
          <w:numId w:val="1"/>
        </w:numPr>
        <w:spacing w:line="276" w:lineRule="auto"/>
        <w:ind w:right="70"/>
        <w:jc w:val="both"/>
        <w:rPr>
          <w:rFonts w:ascii="Calibri" w:hAnsi="Calibri" w:eastAsia="Calibri" w:cs="Calibri"/>
          <w:color w:val="auto"/>
          <w:lang w:val="en-US"/>
        </w:rPr>
      </w:pPr>
      <w:r w:rsidRPr="1A970887">
        <w:rPr>
          <w:rFonts w:ascii="Calibri" w:hAnsi="Calibri" w:eastAsia="Calibri" w:cs="Calibri"/>
          <w:color w:val="auto"/>
          <w:lang w:val="en-US"/>
        </w:rPr>
        <w:t xml:space="preserve">For qualitative data, this involves redacting names, locations, and specific job titles, and potentially paraphrasing quotes that could be identifying. You must also ensure your consent agreements explicitly permit this form of data sharing. </w:t>
      </w:r>
    </w:p>
    <w:p w:rsidR="005054AB" w:rsidP="002A18E7" w:rsidRDefault="79D04C48" w14:paraId="27BEFB80" w14:textId="48FB4CBC">
      <w:pPr>
        <w:spacing w:line="276" w:lineRule="auto"/>
        <w:ind w:left="0" w:right="70" w:firstLine="0"/>
        <w:jc w:val="both"/>
        <w:rPr>
          <w:rFonts w:ascii="Calibri" w:hAnsi="Calibri" w:eastAsia="Calibri" w:cs="Calibri"/>
          <w:color w:val="auto"/>
          <w:lang w:val="en-US"/>
        </w:rPr>
      </w:pPr>
      <w:r w:rsidRPr="1A970887">
        <w:rPr>
          <w:rFonts w:ascii="Calibri" w:hAnsi="Calibri" w:eastAsia="Calibri" w:cs="Calibri"/>
          <w:color w:val="auto"/>
          <w:lang w:val="en-US"/>
        </w:rPr>
        <w:t>Finally, prepare clear documentation (your final README file and data dictionary) to accompany the data so others can understand and use it correctly.</w:t>
      </w:r>
    </w:p>
    <w:p w:rsidR="005054AB" w:rsidP="002A18E7" w:rsidRDefault="776C5350" w14:paraId="791F2967" w14:textId="7DB86661">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  </w:t>
      </w:r>
    </w:p>
    <w:p w:rsidR="005054AB" w:rsidP="002A18E7" w:rsidRDefault="560D87EC" w14:paraId="3B843F91" w14:textId="3BBD2BF4">
      <w:pPr>
        <w:spacing w:line="276" w:lineRule="auto"/>
        <w:jc w:val="both"/>
        <w:rPr>
          <w:rFonts w:ascii="Calibri" w:hAnsi="Calibri" w:eastAsia="Calibri" w:cs="Calibri"/>
          <w:color w:val="auto"/>
        </w:rPr>
      </w:pPr>
      <w:r w:rsidRPr="1A970887">
        <w:rPr>
          <w:rFonts w:ascii="Calibri" w:hAnsi="Calibri" w:eastAsia="Calibri" w:cs="Calibri"/>
          <w:color w:val="auto"/>
        </w:rPr>
        <w:t>5</w:t>
      </w:r>
      <w:r w:rsidRPr="1A970887" w:rsidR="776C5350">
        <w:rPr>
          <w:rFonts w:ascii="Calibri" w:hAnsi="Calibri" w:eastAsia="Calibri" w:cs="Calibri"/>
          <w:color w:val="auto"/>
        </w:rPr>
        <w:t xml:space="preserve">.3 </w:t>
      </w:r>
      <w:r w:rsidRPr="1A970887" w:rsidR="5AB01857">
        <w:rPr>
          <w:rFonts w:ascii="Calibri" w:hAnsi="Calibri" w:eastAsia="Calibri" w:cs="Calibri"/>
          <w:color w:val="auto"/>
        </w:rPr>
        <w:t>What data repository or archive will you use?</w:t>
      </w:r>
    </w:p>
    <w:p w:rsidR="005054AB" w:rsidP="002A18E7" w:rsidRDefault="776C5350" w14:paraId="5B876DC6" w14:textId="77777777">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Identify the data repository or repositories that will be used to preserve and share data. If no data repositories will be used, explain what other solutions will be used to ensure research data are preserved and can be accessed publicly or on </w:t>
      </w:r>
      <w:proofErr w:type="spellStart"/>
      <w:r w:rsidRPr="1A970887">
        <w:rPr>
          <w:rFonts w:ascii="Calibri" w:hAnsi="Calibri" w:eastAsia="Calibri" w:cs="Calibri"/>
          <w:color w:val="auto"/>
          <w:lang w:val="en-US"/>
        </w:rPr>
        <w:t>authorised</w:t>
      </w:r>
      <w:proofErr w:type="spellEnd"/>
      <w:r w:rsidRPr="1A970887">
        <w:rPr>
          <w:rFonts w:ascii="Calibri" w:hAnsi="Calibri" w:eastAsia="Calibri" w:cs="Calibri"/>
          <w:color w:val="auto"/>
          <w:lang w:val="en-US"/>
        </w:rPr>
        <w:t xml:space="preserve"> request after the project. </w:t>
      </w:r>
    </w:p>
    <w:p w:rsidR="3AEB0CD7" w:rsidP="002A18E7" w:rsidRDefault="3AEB0CD7" w14:paraId="5FE4A9C5" w14:textId="787FB370">
      <w:pPr>
        <w:spacing w:line="276" w:lineRule="auto"/>
        <w:ind w:left="-5" w:right="70"/>
        <w:jc w:val="both"/>
        <w:rPr>
          <w:rFonts w:ascii="Calibri" w:hAnsi="Calibri" w:eastAsia="Calibri" w:cs="Calibri"/>
          <w:color w:val="auto"/>
          <w:lang w:val="en-US"/>
        </w:rPr>
      </w:pPr>
      <w:r w:rsidRPr="1A970887">
        <w:rPr>
          <w:rFonts w:ascii="Calibri" w:hAnsi="Calibri" w:eastAsia="Calibri" w:cs="Calibri"/>
          <w:color w:val="auto"/>
          <w:lang w:val="en-US"/>
        </w:rPr>
        <w:t xml:space="preserve">For most social science data, a suitable choice is the </w:t>
      </w:r>
      <w:hyperlink r:id="rId20">
        <w:r w:rsidRPr="1A970887">
          <w:rPr>
            <w:rStyle w:val="Hyperlink"/>
            <w:rFonts w:ascii="Calibri" w:hAnsi="Calibri" w:eastAsia="Calibri" w:cs="Calibri"/>
            <w:color w:val="auto"/>
            <w:lang w:val="en-US"/>
          </w:rPr>
          <w:t xml:space="preserve">UK Data Service </w:t>
        </w:r>
        <w:proofErr w:type="spellStart"/>
        <w:r w:rsidRPr="1A970887">
          <w:rPr>
            <w:rStyle w:val="Hyperlink"/>
            <w:rFonts w:ascii="Calibri" w:hAnsi="Calibri" w:eastAsia="Calibri" w:cs="Calibri"/>
            <w:color w:val="auto"/>
            <w:lang w:val="en-US"/>
          </w:rPr>
          <w:t>ReShare</w:t>
        </w:r>
        <w:proofErr w:type="spellEnd"/>
        <w:r w:rsidRPr="1A970887">
          <w:rPr>
            <w:rStyle w:val="Hyperlink"/>
            <w:rFonts w:ascii="Calibri" w:hAnsi="Calibri" w:eastAsia="Calibri" w:cs="Calibri"/>
            <w:color w:val="auto"/>
            <w:lang w:val="en-US"/>
          </w:rPr>
          <w:t>.</w:t>
        </w:r>
      </w:hyperlink>
      <w:r w:rsidRPr="1A970887">
        <w:rPr>
          <w:rFonts w:ascii="Calibri" w:hAnsi="Calibri" w:eastAsia="Calibri" w:cs="Calibri"/>
          <w:color w:val="auto"/>
          <w:lang w:val="en-US"/>
        </w:rPr>
        <w:t xml:space="preserve"> Depositing data in a repository will provide you with a Digital Object Identifier (DOI), which is a permanent link (like a barcode for your dataset) that you must include in any publications to directly link your paper to the supporting data.</w:t>
      </w:r>
    </w:p>
    <w:p w:rsidR="1A970887" w:rsidP="002A18E7" w:rsidRDefault="1A970887" w14:paraId="17B0F68F" w14:textId="6199BD73">
      <w:pPr>
        <w:spacing w:line="276" w:lineRule="auto"/>
        <w:ind w:left="-5" w:right="70"/>
        <w:jc w:val="both"/>
        <w:rPr>
          <w:rFonts w:ascii="Calibri" w:hAnsi="Calibri" w:eastAsia="Calibri" w:cs="Calibri"/>
          <w:color w:val="auto"/>
          <w:lang w:val="en-US"/>
        </w:rPr>
      </w:pPr>
    </w:p>
    <w:p w:rsidR="005054AB" w:rsidP="002A18E7" w:rsidRDefault="3867FBC9" w14:paraId="513C7955" w14:textId="0DF7BD0F">
      <w:pPr>
        <w:pStyle w:val="Heading2"/>
        <w:spacing w:line="276" w:lineRule="auto"/>
        <w:jc w:val="both"/>
        <w:rPr>
          <w:rFonts w:ascii="Calibri" w:hAnsi="Calibri" w:eastAsia="Calibri" w:cs="Calibri"/>
          <w:bCs/>
          <w:color w:val="auto"/>
        </w:rPr>
      </w:pPr>
      <w:bookmarkStart w:name="_Toc699396682" w:id="8"/>
      <w:r w:rsidRPr="1A970887">
        <w:rPr>
          <w:rFonts w:ascii="Calibri" w:hAnsi="Calibri" w:eastAsia="Calibri" w:cs="Calibri"/>
          <w:color w:val="auto"/>
        </w:rPr>
        <w:t>6</w:t>
      </w:r>
      <w:r w:rsidRPr="1A970887" w:rsidR="776C5350">
        <w:rPr>
          <w:rFonts w:ascii="Calibri" w:hAnsi="Calibri" w:eastAsia="Calibri" w:cs="Calibri"/>
          <w:color w:val="auto"/>
        </w:rPr>
        <w:t xml:space="preserve">. </w:t>
      </w:r>
      <w:r w:rsidRPr="1A970887" w:rsidR="137E99B6">
        <w:rPr>
          <w:rFonts w:ascii="Calibri" w:hAnsi="Calibri" w:eastAsia="Calibri" w:cs="Calibri"/>
          <w:color w:val="auto"/>
        </w:rPr>
        <w:t>RETENTION AND DISPOSAL</w:t>
      </w:r>
      <w:bookmarkEnd w:id="8"/>
    </w:p>
    <w:p w:rsidR="005054AB" w:rsidP="002A18E7" w:rsidRDefault="5AFDEFAB" w14:paraId="18078667" w14:textId="4C6DFF4F">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6.1 How long will personal or confidential data be retained after the project ends?</w:t>
      </w:r>
    </w:p>
    <w:p w:rsidR="1EBC3F4A" w:rsidP="002A18E7" w:rsidRDefault="1EBC3F4A" w14:paraId="153DA5CD" w14:textId="1B40BEC7">
      <w:pPr>
        <w:spacing w:line="276" w:lineRule="auto"/>
        <w:jc w:val="both"/>
        <w:rPr>
          <w:rFonts w:ascii="Calibri" w:hAnsi="Calibri" w:eastAsia="Calibri" w:cs="Calibri"/>
          <w:color w:val="auto"/>
          <w:lang w:val="en-US"/>
        </w:rPr>
      </w:pPr>
      <w:r w:rsidRPr="4AE1BE3A" w:rsidR="1EBC3F4A">
        <w:rPr>
          <w:rFonts w:ascii="Calibri" w:hAnsi="Calibri" w:eastAsia="Calibri" w:cs="Calibri"/>
          <w:color w:val="auto"/>
          <w:lang w:val="en-US"/>
        </w:rPr>
        <w:t xml:space="preserve">Personal data must only be kept for as long as is necessary for the purpose for which it was collected. Once research data has been fully </w:t>
      </w:r>
      <w:r w:rsidRPr="4AE1BE3A" w:rsidR="1EBC3F4A">
        <w:rPr>
          <w:rFonts w:ascii="Calibri" w:hAnsi="Calibri" w:eastAsia="Calibri" w:cs="Calibri"/>
          <w:color w:val="auto"/>
          <w:lang w:val="en-US"/>
        </w:rPr>
        <w:t>anonymised</w:t>
      </w:r>
      <w:r w:rsidRPr="4AE1BE3A" w:rsidR="1EBC3F4A">
        <w:rPr>
          <w:rFonts w:ascii="Calibri" w:hAnsi="Calibri" w:eastAsia="Calibri" w:cs="Calibri"/>
          <w:color w:val="auto"/>
          <w:lang w:val="en-US"/>
        </w:rPr>
        <w:t xml:space="preserve"> and deposited in a repository, the original, identifiable data should be securely destroyed according to a defined schedule. Administrative records like consent forms should be </w:t>
      </w:r>
      <w:r w:rsidRPr="4AE1BE3A" w:rsidR="1EBC3F4A">
        <w:rPr>
          <w:rFonts w:ascii="Calibri" w:hAnsi="Calibri" w:eastAsia="Calibri" w:cs="Calibri"/>
          <w:color w:val="auto"/>
          <w:lang w:val="en-US"/>
        </w:rPr>
        <w:t>retained</w:t>
      </w:r>
      <w:r w:rsidRPr="4AE1BE3A" w:rsidR="1EBC3F4A">
        <w:rPr>
          <w:rFonts w:ascii="Calibri" w:hAnsi="Calibri" w:eastAsia="Calibri" w:cs="Calibri"/>
          <w:color w:val="auto"/>
          <w:lang w:val="en-US"/>
        </w:rPr>
        <w:t xml:space="preserve"> for a set period </w:t>
      </w:r>
      <w:commentRangeStart w:id="9"/>
      <w:commentRangeStart w:id="1781762236"/>
      <w:r w:rsidRPr="4AE1BE3A" w:rsidR="1EBC3F4A">
        <w:rPr>
          <w:rFonts w:ascii="Calibri" w:hAnsi="Calibri" w:eastAsia="Calibri" w:cs="Calibri"/>
          <w:color w:val="auto"/>
          <w:lang w:val="en-US"/>
        </w:rPr>
        <w:t>(</w:t>
      </w:r>
      <w:r w:rsidRPr="4AE1BE3A" w:rsidR="00C609EB">
        <w:rPr>
          <w:rFonts w:ascii="Calibri" w:hAnsi="Calibri" w:eastAsia="Calibri" w:cs="Calibri"/>
          <w:color w:val="auto"/>
          <w:lang w:val="en-US"/>
        </w:rPr>
        <w:t>usually around</w:t>
      </w:r>
      <w:r w:rsidRPr="4AE1BE3A" w:rsidR="1EBC3F4A">
        <w:rPr>
          <w:rFonts w:ascii="Calibri" w:hAnsi="Calibri" w:eastAsia="Calibri" w:cs="Calibri"/>
          <w:color w:val="auto"/>
          <w:lang w:val="en-US"/>
        </w:rPr>
        <w:t xml:space="preserve"> </w:t>
      </w:r>
      <w:r w:rsidRPr="4AE1BE3A" w:rsidR="703E5985">
        <w:rPr>
          <w:rFonts w:ascii="Calibri" w:hAnsi="Calibri" w:eastAsia="Calibri" w:cs="Calibri"/>
          <w:color w:val="auto"/>
          <w:lang w:val="en-US"/>
        </w:rPr>
        <w:t>1</w:t>
      </w:r>
      <w:r w:rsidRPr="4AE1BE3A" w:rsidR="1EBC3F4A">
        <w:rPr>
          <w:rFonts w:ascii="Calibri" w:hAnsi="Calibri" w:eastAsia="Calibri" w:cs="Calibri"/>
          <w:color w:val="auto"/>
          <w:lang w:val="en-US"/>
        </w:rPr>
        <w:t xml:space="preserve"> year</w:t>
      </w:r>
      <w:r w:rsidRPr="4AE1BE3A" w:rsidR="145A5FAA">
        <w:rPr>
          <w:rFonts w:ascii="Calibri" w:hAnsi="Calibri" w:eastAsia="Calibri" w:cs="Calibri"/>
          <w:color w:val="auto"/>
          <w:lang w:val="en-US"/>
        </w:rPr>
        <w:t xml:space="preserve"> </w:t>
      </w:r>
      <w:r w:rsidRPr="4AE1BE3A" w:rsidR="1EBC3F4A">
        <w:rPr>
          <w:rFonts w:ascii="Calibri" w:hAnsi="Calibri" w:eastAsia="Calibri" w:cs="Calibri"/>
          <w:color w:val="auto"/>
          <w:lang w:val="en-US"/>
        </w:rPr>
        <w:t xml:space="preserve">after project completion) </w:t>
      </w:r>
      <w:commentRangeEnd w:id="9"/>
      <w:r>
        <w:rPr>
          <w:rStyle w:val="CommentReference"/>
        </w:rPr>
        <w:commentReference w:id="9"/>
      </w:r>
      <w:commentRangeEnd w:id="1781762236"/>
      <w:r>
        <w:rPr>
          <w:rStyle w:val="CommentReference"/>
        </w:rPr>
        <w:commentReference w:id="1781762236"/>
      </w:r>
      <w:r w:rsidRPr="4AE1BE3A" w:rsidR="1EBC3F4A">
        <w:rPr>
          <w:rFonts w:ascii="Calibri" w:hAnsi="Calibri" w:eastAsia="Calibri" w:cs="Calibri"/>
          <w:color w:val="auto"/>
          <w:lang w:val="en-US"/>
        </w:rPr>
        <w:t xml:space="preserve">to provide an audit trail for proving consent was obtained. </w:t>
      </w:r>
      <w:r w:rsidRPr="4AE1BE3A" w:rsidR="00E11110">
        <w:rPr>
          <w:rFonts w:ascii="Calibri" w:hAnsi="Calibri" w:eastAsia="Calibri" w:cs="Calibri"/>
          <w:color w:val="auto"/>
          <w:lang w:val="en-US"/>
        </w:rPr>
        <w:t xml:space="preserve">Set a calendar reminder for when to securely </w:t>
      </w:r>
      <w:r w:rsidRPr="4AE1BE3A" w:rsidR="00E11110">
        <w:rPr>
          <w:rFonts w:ascii="Calibri" w:hAnsi="Calibri" w:eastAsia="Calibri" w:cs="Calibri"/>
          <w:color w:val="auto"/>
          <w:lang w:val="en-US"/>
        </w:rPr>
        <w:t>d</w:t>
      </w:r>
      <w:r w:rsidRPr="4AE1BE3A" w:rsidR="00E11110">
        <w:rPr>
          <w:rFonts w:ascii="Calibri" w:hAnsi="Calibri" w:eastAsia="Calibri" w:cs="Calibri"/>
          <w:color w:val="auto"/>
          <w:lang w:val="en-US"/>
        </w:rPr>
        <w:t>elete</w:t>
      </w:r>
      <w:r w:rsidRPr="4AE1BE3A" w:rsidR="00E11110">
        <w:rPr>
          <w:rFonts w:ascii="Calibri" w:hAnsi="Calibri" w:eastAsia="Calibri" w:cs="Calibri"/>
          <w:color w:val="auto"/>
          <w:lang w:val="en-US"/>
        </w:rPr>
        <w:t xml:space="preserve"> </w:t>
      </w:r>
      <w:r w:rsidRPr="4AE1BE3A" w:rsidR="00E11110">
        <w:rPr>
          <w:rFonts w:ascii="Calibri" w:hAnsi="Calibri" w:eastAsia="Calibri" w:cs="Calibri"/>
          <w:color w:val="auto"/>
          <w:lang w:val="en-US"/>
        </w:rPr>
        <w:t xml:space="preserve">the consent forms. </w:t>
      </w:r>
      <w:r w:rsidRPr="4AE1BE3A" w:rsidR="1EBC3F4A">
        <w:rPr>
          <w:rFonts w:ascii="Calibri" w:hAnsi="Calibri" w:eastAsia="Calibri" w:cs="Calibri"/>
          <w:color w:val="auto"/>
          <w:lang w:val="en-US"/>
        </w:rPr>
        <w:t>Always check if your funder has specific, longer retention requirements.</w:t>
      </w:r>
    </w:p>
    <w:p w:rsidR="1EBC3F4A" w:rsidP="002A18E7" w:rsidRDefault="1EBC3F4A" w14:paraId="0A3F242D" w14:textId="7CE26434">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 </w:t>
      </w:r>
    </w:p>
    <w:p w:rsidR="1EBC3F4A" w:rsidP="002A18E7" w:rsidRDefault="1EBC3F4A" w14:paraId="10C07E17" w14:textId="29F2DEE0">
      <w:pPr>
        <w:spacing w:before="240" w:after="240" w:line="276" w:lineRule="auto"/>
        <w:jc w:val="both"/>
        <w:rPr>
          <w:rFonts w:ascii="Calibri" w:hAnsi="Calibri" w:eastAsia="Calibri" w:cs="Calibri"/>
          <w:color w:val="auto"/>
          <w:lang w:val="en-US"/>
        </w:rPr>
      </w:pPr>
      <w:r w:rsidRPr="1A970887">
        <w:rPr>
          <w:rFonts w:ascii="Calibri" w:hAnsi="Calibri" w:eastAsia="Calibri" w:cs="Calibri"/>
          <w:color w:val="auto"/>
          <w:lang w:val="en-US"/>
        </w:rPr>
        <w:t>6.2 Specify under whose authority this information will be maintained and disposed of after the project.</w:t>
      </w:r>
    </w:p>
    <w:p w:rsidR="63E84E2A" w:rsidP="002A18E7" w:rsidRDefault="63E84E2A" w14:paraId="3538FB39" w14:textId="6C4ECD54">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Designate a Primary Authority: The Principal Investigator (PI) of the research project typically holds the primary authority and responsibility for the maintenance and eventual disposal of project data after its completion.</w:t>
      </w:r>
    </w:p>
    <w:p w:rsidR="63E84E2A" w:rsidP="002A18E7" w:rsidRDefault="63E84E2A" w14:paraId="34A87301" w14:textId="104BC26A">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Ensure Continuity: To prevent data from becoming orphaned or inaccessible if the PI leaves the Institute, it is crucial to have a clear succession plan. Planning should account for the transfer of ownership.</w:t>
      </w:r>
    </w:p>
    <w:p w:rsidR="63E84E2A" w:rsidP="002A18E7" w:rsidRDefault="63E84E2A" w14:paraId="4BF9C712" w14:textId="7C4EEB86">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 xml:space="preserve">Establish Shared Responsibility: It is recommended that access to and responsibility for the information be shared with more than one person to mitigate the risks of data becoming inaccessible should a sole owner leave the </w:t>
      </w:r>
      <w:proofErr w:type="spellStart"/>
      <w:r w:rsidRPr="1A970887">
        <w:rPr>
          <w:rFonts w:ascii="Calibri" w:hAnsi="Calibri" w:eastAsia="Calibri" w:cs="Calibri"/>
          <w:color w:val="auto"/>
          <w:lang w:val="en-US"/>
        </w:rPr>
        <w:t>organisation</w:t>
      </w:r>
      <w:proofErr w:type="spellEnd"/>
      <w:r w:rsidRPr="1A970887">
        <w:rPr>
          <w:rFonts w:ascii="Calibri" w:hAnsi="Calibri" w:eastAsia="Calibri" w:cs="Calibri"/>
          <w:color w:val="auto"/>
          <w:lang w:val="en-US"/>
        </w:rPr>
        <w:t>.</w:t>
      </w:r>
    </w:p>
    <w:p w:rsidRPr="00E747E5" w:rsidR="005054AB" w:rsidP="00E747E5" w:rsidRDefault="63E84E2A" w14:paraId="01E12780" w14:textId="5EFC2C1C">
      <w:pPr>
        <w:spacing w:line="276" w:lineRule="auto"/>
        <w:jc w:val="both"/>
        <w:rPr>
          <w:rFonts w:ascii="Calibri" w:hAnsi="Calibri" w:eastAsia="Calibri" w:cs="Calibri"/>
          <w:color w:val="auto"/>
          <w:lang w:val="en-US"/>
        </w:rPr>
      </w:pPr>
      <w:r w:rsidRPr="1A970887">
        <w:rPr>
          <w:rFonts w:ascii="Calibri" w:hAnsi="Calibri" w:eastAsia="Calibri" w:cs="Calibri"/>
          <w:color w:val="auto"/>
          <w:lang w:val="en-US"/>
        </w:rPr>
        <w:t>Maintain a Register: A practical way to manage this is by keeping a data asset register. This register would list the personal data held, name the primary owner (the PI)</w:t>
      </w:r>
      <w:r w:rsidRPr="1A970887" w:rsidR="7D150793">
        <w:rPr>
          <w:rFonts w:ascii="Calibri" w:hAnsi="Calibri" w:eastAsia="Calibri" w:cs="Calibri"/>
          <w:color w:val="auto"/>
          <w:lang w:val="en-US"/>
        </w:rPr>
        <w:t xml:space="preserve"> and</w:t>
      </w:r>
      <w:r w:rsidRPr="1A970887">
        <w:rPr>
          <w:rFonts w:ascii="Calibri" w:hAnsi="Calibri" w:eastAsia="Calibri" w:cs="Calibri"/>
          <w:color w:val="auto"/>
          <w:lang w:val="en-US"/>
        </w:rPr>
        <w:t xml:space="preserve"> specify the retention schedule</w:t>
      </w:r>
      <w:r w:rsidRPr="1A970887" w:rsidR="60A588FA">
        <w:rPr>
          <w:rFonts w:ascii="Calibri" w:hAnsi="Calibri" w:eastAsia="Calibri" w:cs="Calibri"/>
          <w:color w:val="auto"/>
          <w:lang w:val="en-US"/>
        </w:rPr>
        <w:t>.</w:t>
      </w:r>
    </w:p>
    <w:sectPr w:rsidRPr="00E747E5" w:rsidR="005054AB" w:rsidSect="00C04D6A">
      <w:headerReference w:type="default" r:id="rId25"/>
      <w:footerReference w:type="even" r:id="rId26"/>
      <w:footerReference w:type="default" r:id="rId27"/>
      <w:footerReference w:type="first" r:id="rId28"/>
      <w:pgSz w:w="11906" w:h="16841" w:orient="portrait"/>
      <w:pgMar w:top="1440" w:right="1440" w:bottom="1440" w:left="1440" w:header="720" w:footer="706"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G" w:author="Joana Geisler" w:date="2025-08-01T11:54:00Z" w:id="9">
    <w:p w:rsidR="005C7D54" w:rsidP="005C7D54" w:rsidRDefault="005C7D54" w14:paraId="1C2BD691" w14:textId="77777777">
      <w:r>
        <w:rPr>
          <w:rStyle w:val="CommentReference"/>
        </w:rPr>
        <w:annotationRef/>
      </w:r>
      <w:r>
        <w:rPr>
          <w:sz w:val="20"/>
          <w:szCs w:val="20"/>
        </w:rPr>
        <w:t>this seems quite long for an organisation of our size. Perhaps one year would make sense?</w:t>
      </w:r>
    </w:p>
  </w:comment>
  <w:comment xmlns:w="http://schemas.openxmlformats.org/wordprocessingml/2006/main" w:initials="JK" w:author="Julian Kulikowski" w:date="2025-08-04T16:20:40" w:id="1781762236">
    <w:p xmlns:w14="http://schemas.microsoft.com/office/word/2010/wordml" xmlns:w="http://schemas.openxmlformats.org/wordprocessingml/2006/main" w:rsidR="3C7ECEB2" w:rsidRDefault="6D841F28" w14:paraId="7B638166" w14:textId="400C4524">
      <w:pPr>
        <w:pStyle w:val="CommentText"/>
      </w:pPr>
      <w:r>
        <w:rPr>
          <w:rStyle w:val="CommentReference"/>
        </w:rPr>
        <w:annotationRef/>
      </w:r>
      <w:r w:rsidRPr="70C21F53" w:rsidR="091B7906">
        <w:t>Agreed, changed it to one year</w:t>
      </w:r>
    </w:p>
  </w:comment>
</w:comments>
</file>

<file path=word/commentsExtended.xml><?xml version="1.0" encoding="utf-8"?>
<w15:commentsEx xmlns:mc="http://schemas.openxmlformats.org/markup-compatibility/2006" xmlns:w15="http://schemas.microsoft.com/office/word/2012/wordml" mc:Ignorable="w15">
  <w15:commentEx w15:done="0" w15:paraId="1C2BD691"/>
  <w15:commentEx w15:done="0" w15:paraId="7B638166" w15:paraIdParent="1C2BD69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FA8544" w16cex:dateUtc="2025-08-01T10:54:00Z"/>
  <w16cex:commentExtensible w16cex:durableId="2260B4E2" w16cex:dateUtc="2025-08-04T15:20:40.75Z"/>
</w16cex:commentsExtensible>
</file>

<file path=word/commentsIds.xml><?xml version="1.0" encoding="utf-8"?>
<w16cid:commentsIds xmlns:mc="http://schemas.openxmlformats.org/markup-compatibility/2006" xmlns:w16cid="http://schemas.microsoft.com/office/word/2016/wordml/cid" mc:Ignorable="w16cid">
  <w16cid:commentId w16cid:paraId="1C2BD691" w16cid:durableId="7BFA8544"/>
  <w16cid:commentId w16cid:paraId="7B638166" w16cid:durableId="2260B4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76FC9" w:rsidRDefault="00A76FC9" w14:paraId="3E923E42" w14:textId="77777777">
      <w:pPr>
        <w:spacing w:after="0" w:line="240" w:lineRule="auto"/>
      </w:pPr>
      <w:r>
        <w:separator/>
      </w:r>
    </w:p>
  </w:endnote>
  <w:endnote w:type="continuationSeparator" w:id="0">
    <w:p w:rsidR="00A76FC9" w:rsidRDefault="00A76FC9" w14:paraId="2F03E4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54AB" w:rsidRDefault="00093A3E" w14:paraId="40D8951F" w14:textId="77777777">
    <w:pPr>
      <w:tabs>
        <w:tab w:val="center" w:pos="8224"/>
        <w:tab w:val="right" w:pos="9536"/>
      </w:tabs>
      <w:spacing w:after="0" w:line="259" w:lineRule="auto"/>
      <w:ind w:left="0" w:right="0" w:firstLine="0"/>
    </w:pPr>
    <w:r>
      <w:t xml:space="preserve">©University of Reading 2025 </w:t>
    </w:r>
    <w:r>
      <w:tab/>
    </w:r>
    <w:r>
      <w:t xml:space="preserve"> </w:t>
    </w:r>
    <w:r>
      <w:tab/>
    </w:r>
    <w:r>
      <w:t xml:space="preserve">Page </w:t>
    </w:r>
    <w:r>
      <w:fldChar w:fldCharType="begin"/>
    </w:r>
    <w:r>
      <w:instrText xml:space="preserve"> PAGE   \* MERGEFORMAT </w:instrText>
    </w:r>
    <w:r>
      <w:fldChar w:fldCharType="separate"/>
    </w:r>
    <w:r>
      <w:rPr>
        <w:rFonts w:cs="Arial"/>
        <w:b/>
      </w:rPr>
      <w:t>1</w:t>
    </w:r>
    <w:r>
      <w:rPr>
        <w:rFonts w:cs="Arial"/>
        <w:b/>
      </w:rPr>
      <w:fldChar w:fldCharType="end"/>
    </w:r>
    <w:r>
      <w:rPr>
        <w:rFonts w:cs="Arial"/>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54AB" w:rsidP="1A970887" w:rsidRDefault="005054AB" w14:paraId="0F4D2B2C" w14:textId="7A5120F8">
    <w:pPr>
      <w:pStyle w:val="Footer"/>
      <w:jc w:val="right"/>
      <w:rPr>
        <w:lang w:val="en-US"/>
      </w:rPr>
    </w:pPr>
    <w:r>
      <w:fldChar w:fldCharType="begin"/>
    </w:r>
    <w:r>
      <w:instrText>PAGE</w:instrText>
    </w:r>
    <w:r>
      <w:fldChar w:fldCharType="separate"/>
    </w:r>
    <w:r w:rsidR="002A18E7">
      <w:rPr>
        <w:noProof/>
      </w:rPr>
      <w:t>1</w:t>
    </w:r>
    <w:r>
      <w:fldChar w:fldCharType="end"/>
    </w:r>
    <w:r w:rsidRPr="1A970887" w:rsidR="1A970887">
      <w:rPr>
        <w:lang w:val="en-US"/>
      </w:rPr>
      <w:t xml:space="preserve"> </w:t>
    </w:r>
  </w:p>
  <w:p w:rsidR="005054AB" w:rsidP="1A970887" w:rsidRDefault="1A970887" w14:paraId="280A2CB0" w14:textId="202BA07B">
    <w:pPr>
      <w:pStyle w:val="Footer"/>
      <w:jc w:val="right"/>
      <w:rPr>
        <w:lang w:val="en-US"/>
      </w:rPr>
    </w:pPr>
    <w:r w:rsidRPr="1A970887">
      <w:rPr>
        <w:lang w:val="en-US"/>
      </w:rPr>
      <w:t xml:space="preserve">  IFOW DMP Guidance    </w:t>
    </w:r>
  </w:p>
  <w:p w:rsidR="005054AB" w:rsidP="1A970887" w:rsidRDefault="1A970887" w14:paraId="046AD616" w14:textId="1F781E5A">
    <w:pPr>
      <w:pStyle w:val="Footer"/>
      <w:jc w:val="right"/>
      <w:rPr>
        <w:lang w:val="en-US"/>
      </w:rPr>
    </w:pPr>
    <w:r w:rsidRPr="1A970887">
      <w:rPr>
        <w:lang w:val="en-US"/>
      </w:rPr>
      <w:t xml:space="preserve">                                                                                          </w:t>
    </w:r>
    <w:r w:rsidR="005054A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54AB" w:rsidRDefault="00093A3E" w14:paraId="52662DBB" w14:textId="77777777">
    <w:pPr>
      <w:tabs>
        <w:tab w:val="center" w:pos="8224"/>
        <w:tab w:val="right" w:pos="9536"/>
      </w:tabs>
      <w:spacing w:after="0" w:line="259" w:lineRule="auto"/>
      <w:ind w:left="0" w:right="0" w:firstLine="0"/>
    </w:pPr>
    <w:r>
      <w:t xml:space="preserve">©University of Reading 2025 </w:t>
    </w:r>
    <w:r>
      <w:tab/>
    </w:r>
    <w:r>
      <w:t xml:space="preserve"> </w:t>
    </w:r>
    <w:r>
      <w:tab/>
    </w:r>
    <w:r>
      <w:t xml:space="preserve">Page </w:t>
    </w:r>
    <w:r>
      <w:fldChar w:fldCharType="begin"/>
    </w:r>
    <w:r>
      <w:instrText xml:space="preserve"> PAGE   \* MERGEFORMAT </w:instrText>
    </w:r>
    <w:r>
      <w:fldChar w:fldCharType="separate"/>
    </w:r>
    <w:r>
      <w:rPr>
        <w:rFonts w:cs="Arial"/>
        <w:b/>
      </w:rPr>
      <w:t>1</w:t>
    </w:r>
    <w:r>
      <w:rPr>
        <w:rFonts w:cs="Arial"/>
        <w:b/>
      </w:rPr>
      <w:fldChar w:fldCharType="end"/>
    </w:r>
    <w:r>
      <w:rPr>
        <w:rFonts w:cs="Arial"/>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76FC9" w:rsidRDefault="00A76FC9" w14:paraId="0F88E97C" w14:textId="77777777">
      <w:pPr>
        <w:spacing w:after="0" w:line="240" w:lineRule="auto"/>
      </w:pPr>
      <w:r>
        <w:separator/>
      </w:r>
    </w:p>
  </w:footnote>
  <w:footnote w:type="continuationSeparator" w:id="0">
    <w:p w:rsidR="00A76FC9" w:rsidRDefault="00A76FC9" w14:paraId="3A4CE15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1A970887" w:rsidRDefault="1A970887" w14:paraId="4678687D" w14:textId="177B88CE">
    <w:r>
      <w:rPr>
        <w:noProof/>
      </w:rPr>
      <w:drawing>
        <wp:inline distT="0" distB="0" distL="0" distR="0" wp14:anchorId="5CAEA8A1" wp14:editId="1662C953">
          <wp:extent cx="1638300" cy="504825"/>
          <wp:effectExtent l="0" t="0" r="0" b="0"/>
          <wp:docPr id="356852513" name="drawing" descr="Institute for the Future of Work,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52513"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048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1B89"/>
    <w:multiLevelType w:val="hybridMultilevel"/>
    <w:tmpl w:val="21D8B5CC"/>
    <w:lvl w:ilvl="0" w:tplc="044AF324">
      <w:start w:val="1"/>
      <w:numFmt w:val="decimal"/>
      <w:lvlText w:val="%1."/>
      <w:lvlJc w:val="left"/>
      <w:pPr>
        <w:ind w:left="314"/>
      </w:pPr>
      <w:rPr>
        <w:rFonts w:ascii="Arial" w:hAnsi="Arial" w:eastAsia="Arial" w:cs="Arial"/>
        <w:b/>
        <w:bCs/>
        <w:i w:val="0"/>
        <w:strike w:val="0"/>
        <w:dstrike w:val="0"/>
        <w:color w:val="000000"/>
        <w:sz w:val="28"/>
        <w:szCs w:val="28"/>
        <w:u w:val="none" w:color="000000"/>
        <w:bdr w:val="none" w:color="auto" w:sz="0" w:space="0"/>
        <w:shd w:val="clear" w:color="auto" w:fill="auto"/>
        <w:vertAlign w:val="baseline"/>
      </w:rPr>
    </w:lvl>
    <w:lvl w:ilvl="1" w:tplc="3124B0CC">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2" w:tplc="097882D8">
      <w:start w:val="1"/>
      <w:numFmt w:val="bullet"/>
      <w:lvlText w:val="▪"/>
      <w:lvlJc w:val="left"/>
      <w:pPr>
        <w:ind w:left="14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38FEC844">
      <w:start w:val="1"/>
      <w:numFmt w:val="bullet"/>
      <w:lvlText w:val="•"/>
      <w:lvlJc w:val="left"/>
      <w:pPr>
        <w:ind w:left="21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5E600E74">
      <w:start w:val="1"/>
      <w:numFmt w:val="bullet"/>
      <w:lvlText w:val="o"/>
      <w:lvlJc w:val="left"/>
      <w:pPr>
        <w:ind w:left="288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BCA23B28">
      <w:start w:val="1"/>
      <w:numFmt w:val="bullet"/>
      <w:lvlText w:val="▪"/>
      <w:lvlJc w:val="left"/>
      <w:pPr>
        <w:ind w:left="360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FABA5EE4">
      <w:start w:val="1"/>
      <w:numFmt w:val="bullet"/>
      <w:lvlText w:val="•"/>
      <w:lvlJc w:val="left"/>
      <w:pPr>
        <w:ind w:left="43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B9929B92">
      <w:start w:val="1"/>
      <w:numFmt w:val="bullet"/>
      <w:lvlText w:val="o"/>
      <w:lvlJc w:val="left"/>
      <w:pPr>
        <w:ind w:left="50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99E08CC6">
      <w:start w:val="1"/>
      <w:numFmt w:val="bullet"/>
      <w:lvlText w:val="▪"/>
      <w:lvlJc w:val="left"/>
      <w:pPr>
        <w:ind w:left="57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02283CF4"/>
    <w:multiLevelType w:val="hybridMultilevel"/>
    <w:tmpl w:val="5F14DEC0"/>
    <w:lvl w:ilvl="0" w:tplc="1D745284">
      <w:start w:val="1"/>
      <w:numFmt w:val="bullet"/>
      <w:lvlText w:val=""/>
      <w:lvlJc w:val="left"/>
      <w:pPr>
        <w:ind w:left="720" w:hanging="360"/>
      </w:pPr>
      <w:rPr>
        <w:rFonts w:hint="default" w:ascii="Symbol" w:hAnsi="Symbol"/>
      </w:rPr>
    </w:lvl>
    <w:lvl w:ilvl="1" w:tplc="2A766416">
      <w:start w:val="1"/>
      <w:numFmt w:val="bullet"/>
      <w:lvlText w:val="o"/>
      <w:lvlJc w:val="left"/>
      <w:pPr>
        <w:ind w:left="1440" w:hanging="360"/>
      </w:pPr>
      <w:rPr>
        <w:rFonts w:hint="default" w:ascii="Courier New" w:hAnsi="Courier New"/>
      </w:rPr>
    </w:lvl>
    <w:lvl w:ilvl="2" w:tplc="FA9A8216">
      <w:start w:val="1"/>
      <w:numFmt w:val="bullet"/>
      <w:lvlText w:val=""/>
      <w:lvlJc w:val="left"/>
      <w:pPr>
        <w:ind w:left="2160" w:hanging="360"/>
      </w:pPr>
      <w:rPr>
        <w:rFonts w:hint="default" w:ascii="Wingdings" w:hAnsi="Wingdings"/>
      </w:rPr>
    </w:lvl>
    <w:lvl w:ilvl="3" w:tplc="24E84A42">
      <w:start w:val="1"/>
      <w:numFmt w:val="bullet"/>
      <w:lvlText w:val=""/>
      <w:lvlJc w:val="left"/>
      <w:pPr>
        <w:ind w:left="2880" w:hanging="360"/>
      </w:pPr>
      <w:rPr>
        <w:rFonts w:hint="default" w:ascii="Symbol" w:hAnsi="Symbol"/>
      </w:rPr>
    </w:lvl>
    <w:lvl w:ilvl="4" w:tplc="27401DD4">
      <w:start w:val="1"/>
      <w:numFmt w:val="bullet"/>
      <w:lvlText w:val="o"/>
      <w:lvlJc w:val="left"/>
      <w:pPr>
        <w:ind w:left="3600" w:hanging="360"/>
      </w:pPr>
      <w:rPr>
        <w:rFonts w:hint="default" w:ascii="Courier New" w:hAnsi="Courier New"/>
      </w:rPr>
    </w:lvl>
    <w:lvl w:ilvl="5" w:tplc="CAAA6282">
      <w:start w:val="1"/>
      <w:numFmt w:val="bullet"/>
      <w:lvlText w:val=""/>
      <w:lvlJc w:val="left"/>
      <w:pPr>
        <w:ind w:left="4320" w:hanging="360"/>
      </w:pPr>
      <w:rPr>
        <w:rFonts w:hint="default" w:ascii="Wingdings" w:hAnsi="Wingdings"/>
      </w:rPr>
    </w:lvl>
    <w:lvl w:ilvl="6" w:tplc="8988B3E0">
      <w:start w:val="1"/>
      <w:numFmt w:val="bullet"/>
      <w:lvlText w:val=""/>
      <w:lvlJc w:val="left"/>
      <w:pPr>
        <w:ind w:left="5040" w:hanging="360"/>
      </w:pPr>
      <w:rPr>
        <w:rFonts w:hint="default" w:ascii="Symbol" w:hAnsi="Symbol"/>
      </w:rPr>
    </w:lvl>
    <w:lvl w:ilvl="7" w:tplc="09C2BB80">
      <w:start w:val="1"/>
      <w:numFmt w:val="bullet"/>
      <w:lvlText w:val="o"/>
      <w:lvlJc w:val="left"/>
      <w:pPr>
        <w:ind w:left="5760" w:hanging="360"/>
      </w:pPr>
      <w:rPr>
        <w:rFonts w:hint="default" w:ascii="Courier New" w:hAnsi="Courier New"/>
      </w:rPr>
    </w:lvl>
    <w:lvl w:ilvl="8" w:tplc="9E92E89A">
      <w:start w:val="1"/>
      <w:numFmt w:val="bullet"/>
      <w:lvlText w:val=""/>
      <w:lvlJc w:val="left"/>
      <w:pPr>
        <w:ind w:left="6480" w:hanging="360"/>
      </w:pPr>
      <w:rPr>
        <w:rFonts w:hint="default" w:ascii="Wingdings" w:hAnsi="Wingdings"/>
      </w:rPr>
    </w:lvl>
  </w:abstractNum>
  <w:abstractNum w:abstractNumId="2" w15:restartNumberingAfterBreak="0">
    <w:nsid w:val="038832F2"/>
    <w:multiLevelType w:val="hybridMultilevel"/>
    <w:tmpl w:val="E1B4548C"/>
    <w:lvl w:ilvl="0" w:tplc="EFAA09F2">
      <w:start w:val="1"/>
      <w:numFmt w:val="bullet"/>
      <w:lvlText w:val=""/>
      <w:lvlJc w:val="left"/>
      <w:pPr>
        <w:ind w:left="720" w:hanging="360"/>
      </w:pPr>
      <w:rPr>
        <w:rFonts w:hint="default" w:ascii="Symbol" w:hAnsi="Symbol"/>
      </w:rPr>
    </w:lvl>
    <w:lvl w:ilvl="1" w:tplc="07861C7E">
      <w:start w:val="1"/>
      <w:numFmt w:val="bullet"/>
      <w:lvlText w:val="o"/>
      <w:lvlJc w:val="left"/>
      <w:pPr>
        <w:ind w:left="1440" w:hanging="360"/>
      </w:pPr>
      <w:rPr>
        <w:rFonts w:hint="default" w:ascii="Courier New" w:hAnsi="Courier New"/>
      </w:rPr>
    </w:lvl>
    <w:lvl w:ilvl="2" w:tplc="5BA089A2">
      <w:start w:val="1"/>
      <w:numFmt w:val="bullet"/>
      <w:lvlText w:val=""/>
      <w:lvlJc w:val="left"/>
      <w:pPr>
        <w:ind w:left="2160" w:hanging="360"/>
      </w:pPr>
      <w:rPr>
        <w:rFonts w:hint="default" w:ascii="Wingdings" w:hAnsi="Wingdings"/>
      </w:rPr>
    </w:lvl>
    <w:lvl w:ilvl="3" w:tplc="88024D36">
      <w:start w:val="1"/>
      <w:numFmt w:val="bullet"/>
      <w:lvlText w:val=""/>
      <w:lvlJc w:val="left"/>
      <w:pPr>
        <w:ind w:left="2880" w:hanging="360"/>
      </w:pPr>
      <w:rPr>
        <w:rFonts w:hint="default" w:ascii="Symbol" w:hAnsi="Symbol"/>
      </w:rPr>
    </w:lvl>
    <w:lvl w:ilvl="4" w:tplc="9EE8D6E6">
      <w:start w:val="1"/>
      <w:numFmt w:val="bullet"/>
      <w:lvlText w:val="o"/>
      <w:lvlJc w:val="left"/>
      <w:pPr>
        <w:ind w:left="3600" w:hanging="360"/>
      </w:pPr>
      <w:rPr>
        <w:rFonts w:hint="default" w:ascii="Courier New" w:hAnsi="Courier New"/>
      </w:rPr>
    </w:lvl>
    <w:lvl w:ilvl="5" w:tplc="D7F2DE1C">
      <w:start w:val="1"/>
      <w:numFmt w:val="bullet"/>
      <w:lvlText w:val=""/>
      <w:lvlJc w:val="left"/>
      <w:pPr>
        <w:ind w:left="4320" w:hanging="360"/>
      </w:pPr>
      <w:rPr>
        <w:rFonts w:hint="default" w:ascii="Wingdings" w:hAnsi="Wingdings"/>
      </w:rPr>
    </w:lvl>
    <w:lvl w:ilvl="6" w:tplc="6A28FA70">
      <w:start w:val="1"/>
      <w:numFmt w:val="bullet"/>
      <w:lvlText w:val=""/>
      <w:lvlJc w:val="left"/>
      <w:pPr>
        <w:ind w:left="5040" w:hanging="360"/>
      </w:pPr>
      <w:rPr>
        <w:rFonts w:hint="default" w:ascii="Symbol" w:hAnsi="Symbol"/>
      </w:rPr>
    </w:lvl>
    <w:lvl w:ilvl="7" w:tplc="6312388A">
      <w:start w:val="1"/>
      <w:numFmt w:val="bullet"/>
      <w:lvlText w:val="o"/>
      <w:lvlJc w:val="left"/>
      <w:pPr>
        <w:ind w:left="5760" w:hanging="360"/>
      </w:pPr>
      <w:rPr>
        <w:rFonts w:hint="default" w:ascii="Courier New" w:hAnsi="Courier New"/>
      </w:rPr>
    </w:lvl>
    <w:lvl w:ilvl="8" w:tplc="5EE298C4">
      <w:start w:val="1"/>
      <w:numFmt w:val="bullet"/>
      <w:lvlText w:val=""/>
      <w:lvlJc w:val="left"/>
      <w:pPr>
        <w:ind w:left="6480" w:hanging="360"/>
      </w:pPr>
      <w:rPr>
        <w:rFonts w:hint="default" w:ascii="Wingdings" w:hAnsi="Wingdings"/>
      </w:rPr>
    </w:lvl>
  </w:abstractNum>
  <w:abstractNum w:abstractNumId="3" w15:restartNumberingAfterBreak="0">
    <w:nsid w:val="0FF75705"/>
    <w:multiLevelType w:val="hybridMultilevel"/>
    <w:tmpl w:val="C38A0384"/>
    <w:lvl w:ilvl="0" w:tplc="40D81EEA">
      <w:start w:val="1"/>
      <w:numFmt w:val="bullet"/>
      <w:lvlText w:val=""/>
      <w:lvlJc w:val="left"/>
      <w:pPr>
        <w:ind w:left="720" w:hanging="360"/>
      </w:pPr>
      <w:rPr>
        <w:rFonts w:hint="default" w:ascii="Symbol" w:hAnsi="Symbol"/>
      </w:rPr>
    </w:lvl>
    <w:lvl w:ilvl="1" w:tplc="5C082788">
      <w:start w:val="1"/>
      <w:numFmt w:val="bullet"/>
      <w:lvlText w:val="o"/>
      <w:lvlJc w:val="left"/>
      <w:pPr>
        <w:ind w:left="1440" w:hanging="360"/>
      </w:pPr>
      <w:rPr>
        <w:rFonts w:hint="default" w:ascii="Courier New" w:hAnsi="Courier New"/>
      </w:rPr>
    </w:lvl>
    <w:lvl w:ilvl="2" w:tplc="F68E589C">
      <w:start w:val="1"/>
      <w:numFmt w:val="bullet"/>
      <w:lvlText w:val=""/>
      <w:lvlJc w:val="left"/>
      <w:pPr>
        <w:ind w:left="2160" w:hanging="360"/>
      </w:pPr>
      <w:rPr>
        <w:rFonts w:hint="default" w:ascii="Wingdings" w:hAnsi="Wingdings"/>
      </w:rPr>
    </w:lvl>
    <w:lvl w:ilvl="3" w:tplc="EC8090EE">
      <w:start w:val="1"/>
      <w:numFmt w:val="bullet"/>
      <w:lvlText w:val=""/>
      <w:lvlJc w:val="left"/>
      <w:pPr>
        <w:ind w:left="2880" w:hanging="360"/>
      </w:pPr>
      <w:rPr>
        <w:rFonts w:hint="default" w:ascii="Symbol" w:hAnsi="Symbol"/>
      </w:rPr>
    </w:lvl>
    <w:lvl w:ilvl="4" w:tplc="82A8D900">
      <w:start w:val="1"/>
      <w:numFmt w:val="bullet"/>
      <w:lvlText w:val="o"/>
      <w:lvlJc w:val="left"/>
      <w:pPr>
        <w:ind w:left="3600" w:hanging="360"/>
      </w:pPr>
      <w:rPr>
        <w:rFonts w:hint="default" w:ascii="Courier New" w:hAnsi="Courier New"/>
      </w:rPr>
    </w:lvl>
    <w:lvl w:ilvl="5" w:tplc="5860C67A">
      <w:start w:val="1"/>
      <w:numFmt w:val="bullet"/>
      <w:lvlText w:val=""/>
      <w:lvlJc w:val="left"/>
      <w:pPr>
        <w:ind w:left="4320" w:hanging="360"/>
      </w:pPr>
      <w:rPr>
        <w:rFonts w:hint="default" w:ascii="Wingdings" w:hAnsi="Wingdings"/>
      </w:rPr>
    </w:lvl>
    <w:lvl w:ilvl="6" w:tplc="ACDAC0D4">
      <w:start w:val="1"/>
      <w:numFmt w:val="bullet"/>
      <w:lvlText w:val=""/>
      <w:lvlJc w:val="left"/>
      <w:pPr>
        <w:ind w:left="5040" w:hanging="360"/>
      </w:pPr>
      <w:rPr>
        <w:rFonts w:hint="default" w:ascii="Symbol" w:hAnsi="Symbol"/>
      </w:rPr>
    </w:lvl>
    <w:lvl w:ilvl="7" w:tplc="2B8AA230">
      <w:start w:val="1"/>
      <w:numFmt w:val="bullet"/>
      <w:lvlText w:val="o"/>
      <w:lvlJc w:val="left"/>
      <w:pPr>
        <w:ind w:left="5760" w:hanging="360"/>
      </w:pPr>
      <w:rPr>
        <w:rFonts w:hint="default" w:ascii="Courier New" w:hAnsi="Courier New"/>
      </w:rPr>
    </w:lvl>
    <w:lvl w:ilvl="8" w:tplc="8BDE36EA">
      <w:start w:val="1"/>
      <w:numFmt w:val="bullet"/>
      <w:lvlText w:val=""/>
      <w:lvlJc w:val="left"/>
      <w:pPr>
        <w:ind w:left="6480" w:hanging="360"/>
      </w:pPr>
      <w:rPr>
        <w:rFonts w:hint="default" w:ascii="Wingdings" w:hAnsi="Wingdings"/>
      </w:rPr>
    </w:lvl>
  </w:abstractNum>
  <w:abstractNum w:abstractNumId="4" w15:restartNumberingAfterBreak="0">
    <w:nsid w:val="29D5A64A"/>
    <w:multiLevelType w:val="hybridMultilevel"/>
    <w:tmpl w:val="D94E45EA"/>
    <w:lvl w:ilvl="0" w:tplc="756C1B04">
      <w:start w:val="1"/>
      <w:numFmt w:val="bullet"/>
      <w:lvlText w:val=""/>
      <w:lvlJc w:val="left"/>
      <w:pPr>
        <w:ind w:left="720" w:hanging="360"/>
      </w:pPr>
      <w:rPr>
        <w:rFonts w:hint="default" w:ascii="Symbol" w:hAnsi="Symbol"/>
      </w:rPr>
    </w:lvl>
    <w:lvl w:ilvl="1" w:tplc="EAC07B74">
      <w:start w:val="1"/>
      <w:numFmt w:val="bullet"/>
      <w:lvlText w:val="o"/>
      <w:lvlJc w:val="left"/>
      <w:pPr>
        <w:ind w:left="1440" w:hanging="360"/>
      </w:pPr>
      <w:rPr>
        <w:rFonts w:hint="default" w:ascii="Courier New" w:hAnsi="Courier New"/>
      </w:rPr>
    </w:lvl>
    <w:lvl w:ilvl="2" w:tplc="B3068224">
      <w:start w:val="1"/>
      <w:numFmt w:val="bullet"/>
      <w:lvlText w:val=""/>
      <w:lvlJc w:val="left"/>
      <w:pPr>
        <w:ind w:left="2160" w:hanging="360"/>
      </w:pPr>
      <w:rPr>
        <w:rFonts w:hint="default" w:ascii="Wingdings" w:hAnsi="Wingdings"/>
      </w:rPr>
    </w:lvl>
    <w:lvl w:ilvl="3" w:tplc="06DC628E">
      <w:start w:val="1"/>
      <w:numFmt w:val="bullet"/>
      <w:lvlText w:val=""/>
      <w:lvlJc w:val="left"/>
      <w:pPr>
        <w:ind w:left="2880" w:hanging="360"/>
      </w:pPr>
      <w:rPr>
        <w:rFonts w:hint="default" w:ascii="Symbol" w:hAnsi="Symbol"/>
      </w:rPr>
    </w:lvl>
    <w:lvl w:ilvl="4" w:tplc="469C5180">
      <w:start w:val="1"/>
      <w:numFmt w:val="bullet"/>
      <w:lvlText w:val="o"/>
      <w:lvlJc w:val="left"/>
      <w:pPr>
        <w:ind w:left="3600" w:hanging="360"/>
      </w:pPr>
      <w:rPr>
        <w:rFonts w:hint="default" w:ascii="Courier New" w:hAnsi="Courier New"/>
      </w:rPr>
    </w:lvl>
    <w:lvl w:ilvl="5" w:tplc="22D6E7AE">
      <w:start w:val="1"/>
      <w:numFmt w:val="bullet"/>
      <w:lvlText w:val=""/>
      <w:lvlJc w:val="left"/>
      <w:pPr>
        <w:ind w:left="4320" w:hanging="360"/>
      </w:pPr>
      <w:rPr>
        <w:rFonts w:hint="default" w:ascii="Wingdings" w:hAnsi="Wingdings"/>
      </w:rPr>
    </w:lvl>
    <w:lvl w:ilvl="6" w:tplc="9F227DD4">
      <w:start w:val="1"/>
      <w:numFmt w:val="bullet"/>
      <w:lvlText w:val=""/>
      <w:lvlJc w:val="left"/>
      <w:pPr>
        <w:ind w:left="5040" w:hanging="360"/>
      </w:pPr>
      <w:rPr>
        <w:rFonts w:hint="default" w:ascii="Symbol" w:hAnsi="Symbol"/>
      </w:rPr>
    </w:lvl>
    <w:lvl w:ilvl="7" w:tplc="954E5418">
      <w:start w:val="1"/>
      <w:numFmt w:val="bullet"/>
      <w:lvlText w:val="o"/>
      <w:lvlJc w:val="left"/>
      <w:pPr>
        <w:ind w:left="5760" w:hanging="360"/>
      </w:pPr>
      <w:rPr>
        <w:rFonts w:hint="default" w:ascii="Courier New" w:hAnsi="Courier New"/>
      </w:rPr>
    </w:lvl>
    <w:lvl w:ilvl="8" w:tplc="AACCF6F6">
      <w:start w:val="1"/>
      <w:numFmt w:val="bullet"/>
      <w:lvlText w:val=""/>
      <w:lvlJc w:val="left"/>
      <w:pPr>
        <w:ind w:left="6480" w:hanging="360"/>
      </w:pPr>
      <w:rPr>
        <w:rFonts w:hint="default" w:ascii="Wingdings" w:hAnsi="Wingdings"/>
      </w:rPr>
    </w:lvl>
  </w:abstractNum>
  <w:abstractNum w:abstractNumId="5" w15:restartNumberingAfterBreak="0">
    <w:nsid w:val="315DC7BF"/>
    <w:multiLevelType w:val="hybridMultilevel"/>
    <w:tmpl w:val="2C8EBFD8"/>
    <w:lvl w:ilvl="0" w:tplc="48F09612">
      <w:start w:val="5"/>
      <w:numFmt w:val="decimal"/>
      <w:lvlText w:val="%1."/>
      <w:lvlJc w:val="left"/>
      <w:pPr>
        <w:ind w:left="720" w:hanging="360"/>
      </w:pPr>
    </w:lvl>
    <w:lvl w:ilvl="1" w:tplc="B65EBFE0">
      <w:start w:val="1"/>
      <w:numFmt w:val="lowerLetter"/>
      <w:lvlText w:val="%2."/>
      <w:lvlJc w:val="left"/>
      <w:pPr>
        <w:ind w:left="1440" w:hanging="360"/>
      </w:pPr>
    </w:lvl>
    <w:lvl w:ilvl="2" w:tplc="6644DD10">
      <w:start w:val="1"/>
      <w:numFmt w:val="lowerRoman"/>
      <w:lvlText w:val="%3."/>
      <w:lvlJc w:val="right"/>
      <w:pPr>
        <w:ind w:left="2160" w:hanging="180"/>
      </w:pPr>
    </w:lvl>
    <w:lvl w:ilvl="3" w:tplc="72DCD27E">
      <w:start w:val="1"/>
      <w:numFmt w:val="decimal"/>
      <w:lvlText w:val="%4."/>
      <w:lvlJc w:val="left"/>
      <w:pPr>
        <w:ind w:left="2880" w:hanging="360"/>
      </w:pPr>
    </w:lvl>
    <w:lvl w:ilvl="4" w:tplc="B3787FEA">
      <w:start w:val="1"/>
      <w:numFmt w:val="lowerLetter"/>
      <w:lvlText w:val="%5."/>
      <w:lvlJc w:val="left"/>
      <w:pPr>
        <w:ind w:left="3600" w:hanging="360"/>
      </w:pPr>
    </w:lvl>
    <w:lvl w:ilvl="5" w:tplc="AA981E5C">
      <w:start w:val="1"/>
      <w:numFmt w:val="lowerRoman"/>
      <w:lvlText w:val="%6."/>
      <w:lvlJc w:val="right"/>
      <w:pPr>
        <w:ind w:left="4320" w:hanging="180"/>
      </w:pPr>
    </w:lvl>
    <w:lvl w:ilvl="6" w:tplc="310C2A0C">
      <w:start w:val="1"/>
      <w:numFmt w:val="decimal"/>
      <w:lvlText w:val="%7."/>
      <w:lvlJc w:val="left"/>
      <w:pPr>
        <w:ind w:left="5040" w:hanging="360"/>
      </w:pPr>
    </w:lvl>
    <w:lvl w:ilvl="7" w:tplc="916E95F6">
      <w:start w:val="1"/>
      <w:numFmt w:val="lowerLetter"/>
      <w:lvlText w:val="%8."/>
      <w:lvlJc w:val="left"/>
      <w:pPr>
        <w:ind w:left="5760" w:hanging="360"/>
      </w:pPr>
    </w:lvl>
    <w:lvl w:ilvl="8" w:tplc="94203082">
      <w:start w:val="1"/>
      <w:numFmt w:val="lowerRoman"/>
      <w:lvlText w:val="%9."/>
      <w:lvlJc w:val="right"/>
      <w:pPr>
        <w:ind w:left="6480" w:hanging="180"/>
      </w:pPr>
    </w:lvl>
  </w:abstractNum>
  <w:abstractNum w:abstractNumId="6" w15:restartNumberingAfterBreak="0">
    <w:nsid w:val="3267C904"/>
    <w:multiLevelType w:val="hybridMultilevel"/>
    <w:tmpl w:val="0C127ED8"/>
    <w:lvl w:ilvl="0" w:tplc="A000AD3C">
      <w:start w:val="1"/>
      <w:numFmt w:val="bullet"/>
      <w:lvlText w:val=""/>
      <w:lvlJc w:val="left"/>
      <w:pPr>
        <w:ind w:left="720" w:hanging="360"/>
      </w:pPr>
      <w:rPr>
        <w:rFonts w:hint="default" w:ascii="Symbol" w:hAnsi="Symbol"/>
      </w:rPr>
    </w:lvl>
    <w:lvl w:ilvl="1" w:tplc="61D82BCC">
      <w:start w:val="1"/>
      <w:numFmt w:val="bullet"/>
      <w:lvlText w:val="o"/>
      <w:lvlJc w:val="left"/>
      <w:pPr>
        <w:ind w:left="1440" w:hanging="360"/>
      </w:pPr>
      <w:rPr>
        <w:rFonts w:hint="default" w:ascii="Courier New" w:hAnsi="Courier New"/>
      </w:rPr>
    </w:lvl>
    <w:lvl w:ilvl="2" w:tplc="B0EE51CA">
      <w:start w:val="1"/>
      <w:numFmt w:val="bullet"/>
      <w:lvlText w:val=""/>
      <w:lvlJc w:val="left"/>
      <w:pPr>
        <w:ind w:left="2160" w:hanging="360"/>
      </w:pPr>
      <w:rPr>
        <w:rFonts w:hint="default" w:ascii="Wingdings" w:hAnsi="Wingdings"/>
      </w:rPr>
    </w:lvl>
    <w:lvl w:ilvl="3" w:tplc="3C063874">
      <w:start w:val="1"/>
      <w:numFmt w:val="bullet"/>
      <w:lvlText w:val=""/>
      <w:lvlJc w:val="left"/>
      <w:pPr>
        <w:ind w:left="2880" w:hanging="360"/>
      </w:pPr>
      <w:rPr>
        <w:rFonts w:hint="default" w:ascii="Symbol" w:hAnsi="Symbol"/>
      </w:rPr>
    </w:lvl>
    <w:lvl w:ilvl="4" w:tplc="0C5A3A42">
      <w:start w:val="1"/>
      <w:numFmt w:val="bullet"/>
      <w:lvlText w:val="o"/>
      <w:lvlJc w:val="left"/>
      <w:pPr>
        <w:ind w:left="3600" w:hanging="360"/>
      </w:pPr>
      <w:rPr>
        <w:rFonts w:hint="default" w:ascii="Courier New" w:hAnsi="Courier New"/>
      </w:rPr>
    </w:lvl>
    <w:lvl w:ilvl="5" w:tplc="6F824824">
      <w:start w:val="1"/>
      <w:numFmt w:val="bullet"/>
      <w:lvlText w:val=""/>
      <w:lvlJc w:val="left"/>
      <w:pPr>
        <w:ind w:left="4320" w:hanging="360"/>
      </w:pPr>
      <w:rPr>
        <w:rFonts w:hint="default" w:ascii="Wingdings" w:hAnsi="Wingdings"/>
      </w:rPr>
    </w:lvl>
    <w:lvl w:ilvl="6" w:tplc="1B281662">
      <w:start w:val="1"/>
      <w:numFmt w:val="bullet"/>
      <w:lvlText w:val=""/>
      <w:lvlJc w:val="left"/>
      <w:pPr>
        <w:ind w:left="5040" w:hanging="360"/>
      </w:pPr>
      <w:rPr>
        <w:rFonts w:hint="default" w:ascii="Symbol" w:hAnsi="Symbol"/>
      </w:rPr>
    </w:lvl>
    <w:lvl w:ilvl="7" w:tplc="14401B7A">
      <w:start w:val="1"/>
      <w:numFmt w:val="bullet"/>
      <w:lvlText w:val="o"/>
      <w:lvlJc w:val="left"/>
      <w:pPr>
        <w:ind w:left="5760" w:hanging="360"/>
      </w:pPr>
      <w:rPr>
        <w:rFonts w:hint="default" w:ascii="Courier New" w:hAnsi="Courier New"/>
      </w:rPr>
    </w:lvl>
    <w:lvl w:ilvl="8" w:tplc="81368F0C">
      <w:start w:val="1"/>
      <w:numFmt w:val="bullet"/>
      <w:lvlText w:val=""/>
      <w:lvlJc w:val="left"/>
      <w:pPr>
        <w:ind w:left="6480" w:hanging="360"/>
      </w:pPr>
      <w:rPr>
        <w:rFonts w:hint="default" w:ascii="Wingdings" w:hAnsi="Wingdings"/>
      </w:rPr>
    </w:lvl>
  </w:abstractNum>
  <w:abstractNum w:abstractNumId="7" w15:restartNumberingAfterBreak="0">
    <w:nsid w:val="490F20DA"/>
    <w:multiLevelType w:val="hybridMultilevel"/>
    <w:tmpl w:val="87E28CD6"/>
    <w:lvl w:ilvl="0" w:tplc="8940ED96">
      <w:start w:val="1"/>
      <w:numFmt w:val="bullet"/>
      <w:lvlText w:val=""/>
      <w:lvlJc w:val="left"/>
      <w:pPr>
        <w:ind w:left="720" w:hanging="360"/>
      </w:pPr>
      <w:rPr>
        <w:rFonts w:hint="default" w:ascii="Symbol" w:hAnsi="Symbol"/>
      </w:rPr>
    </w:lvl>
    <w:lvl w:ilvl="1" w:tplc="3DEA88E0">
      <w:start w:val="1"/>
      <w:numFmt w:val="bullet"/>
      <w:lvlText w:val="o"/>
      <w:lvlJc w:val="left"/>
      <w:pPr>
        <w:ind w:left="1440" w:hanging="360"/>
      </w:pPr>
      <w:rPr>
        <w:rFonts w:hint="default" w:ascii="Courier New" w:hAnsi="Courier New"/>
      </w:rPr>
    </w:lvl>
    <w:lvl w:ilvl="2" w:tplc="6FA46A7C">
      <w:start w:val="1"/>
      <w:numFmt w:val="bullet"/>
      <w:lvlText w:val=""/>
      <w:lvlJc w:val="left"/>
      <w:pPr>
        <w:ind w:left="2160" w:hanging="360"/>
      </w:pPr>
      <w:rPr>
        <w:rFonts w:hint="default" w:ascii="Wingdings" w:hAnsi="Wingdings"/>
      </w:rPr>
    </w:lvl>
    <w:lvl w:ilvl="3" w:tplc="A4724FA6">
      <w:start w:val="1"/>
      <w:numFmt w:val="bullet"/>
      <w:lvlText w:val=""/>
      <w:lvlJc w:val="left"/>
      <w:pPr>
        <w:ind w:left="2880" w:hanging="360"/>
      </w:pPr>
      <w:rPr>
        <w:rFonts w:hint="default" w:ascii="Symbol" w:hAnsi="Symbol"/>
      </w:rPr>
    </w:lvl>
    <w:lvl w:ilvl="4" w:tplc="EB70C826">
      <w:start w:val="1"/>
      <w:numFmt w:val="bullet"/>
      <w:lvlText w:val="o"/>
      <w:lvlJc w:val="left"/>
      <w:pPr>
        <w:ind w:left="3600" w:hanging="360"/>
      </w:pPr>
      <w:rPr>
        <w:rFonts w:hint="default" w:ascii="Courier New" w:hAnsi="Courier New"/>
      </w:rPr>
    </w:lvl>
    <w:lvl w:ilvl="5" w:tplc="E8DCE254">
      <w:start w:val="1"/>
      <w:numFmt w:val="bullet"/>
      <w:lvlText w:val=""/>
      <w:lvlJc w:val="left"/>
      <w:pPr>
        <w:ind w:left="4320" w:hanging="360"/>
      </w:pPr>
      <w:rPr>
        <w:rFonts w:hint="default" w:ascii="Wingdings" w:hAnsi="Wingdings"/>
      </w:rPr>
    </w:lvl>
    <w:lvl w:ilvl="6" w:tplc="32DA5BD4">
      <w:start w:val="1"/>
      <w:numFmt w:val="bullet"/>
      <w:lvlText w:val=""/>
      <w:lvlJc w:val="left"/>
      <w:pPr>
        <w:ind w:left="5040" w:hanging="360"/>
      </w:pPr>
      <w:rPr>
        <w:rFonts w:hint="default" w:ascii="Symbol" w:hAnsi="Symbol"/>
      </w:rPr>
    </w:lvl>
    <w:lvl w:ilvl="7" w:tplc="6D04BB46">
      <w:start w:val="1"/>
      <w:numFmt w:val="bullet"/>
      <w:lvlText w:val="o"/>
      <w:lvlJc w:val="left"/>
      <w:pPr>
        <w:ind w:left="5760" w:hanging="360"/>
      </w:pPr>
      <w:rPr>
        <w:rFonts w:hint="default" w:ascii="Courier New" w:hAnsi="Courier New"/>
      </w:rPr>
    </w:lvl>
    <w:lvl w:ilvl="8" w:tplc="029A3318">
      <w:start w:val="1"/>
      <w:numFmt w:val="bullet"/>
      <w:lvlText w:val=""/>
      <w:lvlJc w:val="left"/>
      <w:pPr>
        <w:ind w:left="6480" w:hanging="360"/>
      </w:pPr>
      <w:rPr>
        <w:rFonts w:hint="default" w:ascii="Wingdings" w:hAnsi="Wingdings"/>
      </w:rPr>
    </w:lvl>
  </w:abstractNum>
  <w:abstractNum w:abstractNumId="8" w15:restartNumberingAfterBreak="0">
    <w:nsid w:val="50615EC8"/>
    <w:multiLevelType w:val="hybridMultilevel"/>
    <w:tmpl w:val="AE161B20"/>
    <w:lvl w:ilvl="0" w:tplc="0360F39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ADF4E1F6">
      <w:start w:val="1"/>
      <w:numFmt w:val="bullet"/>
      <w:lvlText w:val="o"/>
      <w:lvlJc w:val="left"/>
      <w:pPr>
        <w:ind w:left="14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4C6E7754">
      <w:start w:val="1"/>
      <w:numFmt w:val="bullet"/>
      <w:lvlText w:val="▪"/>
      <w:lvlJc w:val="left"/>
      <w:pPr>
        <w:ind w:left="21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630C3A94">
      <w:start w:val="1"/>
      <w:numFmt w:val="bullet"/>
      <w:lvlText w:val="•"/>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985EF0DA">
      <w:start w:val="1"/>
      <w:numFmt w:val="bullet"/>
      <w:lvlText w:val="o"/>
      <w:lvlJc w:val="left"/>
      <w:pPr>
        <w:ind w:left="360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8828065C">
      <w:start w:val="1"/>
      <w:numFmt w:val="bullet"/>
      <w:lvlText w:val="▪"/>
      <w:lvlJc w:val="left"/>
      <w:pPr>
        <w:ind w:left="432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32A43520">
      <w:start w:val="1"/>
      <w:numFmt w:val="bullet"/>
      <w:lvlText w:val="•"/>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68367186">
      <w:start w:val="1"/>
      <w:numFmt w:val="bullet"/>
      <w:lvlText w:val="o"/>
      <w:lvlJc w:val="left"/>
      <w:pPr>
        <w:ind w:left="57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7C00689E">
      <w:start w:val="1"/>
      <w:numFmt w:val="bullet"/>
      <w:lvlText w:val="▪"/>
      <w:lvlJc w:val="left"/>
      <w:pPr>
        <w:ind w:left="648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9" w15:restartNumberingAfterBreak="0">
    <w:nsid w:val="54213474"/>
    <w:multiLevelType w:val="hybridMultilevel"/>
    <w:tmpl w:val="F6E66666"/>
    <w:lvl w:ilvl="0" w:tplc="E7C05B04">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20605A2E">
      <w:start w:val="1"/>
      <w:numFmt w:val="bullet"/>
      <w:lvlText w:val="o"/>
      <w:lvlJc w:val="left"/>
      <w:pPr>
        <w:ind w:left="14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FB3E463C">
      <w:start w:val="1"/>
      <w:numFmt w:val="bullet"/>
      <w:lvlText w:val="▪"/>
      <w:lvlJc w:val="left"/>
      <w:pPr>
        <w:ind w:left="21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D29419A8">
      <w:start w:val="1"/>
      <w:numFmt w:val="bullet"/>
      <w:lvlText w:val="•"/>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8C2CF53C">
      <w:start w:val="1"/>
      <w:numFmt w:val="bullet"/>
      <w:lvlText w:val="o"/>
      <w:lvlJc w:val="left"/>
      <w:pPr>
        <w:ind w:left="360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945AD60A">
      <w:start w:val="1"/>
      <w:numFmt w:val="bullet"/>
      <w:lvlText w:val="▪"/>
      <w:lvlJc w:val="left"/>
      <w:pPr>
        <w:ind w:left="432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E78EC0CA">
      <w:start w:val="1"/>
      <w:numFmt w:val="bullet"/>
      <w:lvlText w:val="•"/>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91D064BC">
      <w:start w:val="1"/>
      <w:numFmt w:val="bullet"/>
      <w:lvlText w:val="o"/>
      <w:lvlJc w:val="left"/>
      <w:pPr>
        <w:ind w:left="57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D74291C4">
      <w:start w:val="1"/>
      <w:numFmt w:val="bullet"/>
      <w:lvlText w:val="▪"/>
      <w:lvlJc w:val="left"/>
      <w:pPr>
        <w:ind w:left="648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0" w15:restartNumberingAfterBreak="0">
    <w:nsid w:val="7AC7687B"/>
    <w:multiLevelType w:val="hybridMultilevel"/>
    <w:tmpl w:val="E5F6BA40"/>
    <w:lvl w:ilvl="0" w:tplc="AD60DBA0">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30129722">
      <w:start w:val="1"/>
      <w:numFmt w:val="bullet"/>
      <w:lvlText w:val="o"/>
      <w:lvlJc w:val="left"/>
      <w:pPr>
        <w:ind w:left="14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973A07BE">
      <w:start w:val="1"/>
      <w:numFmt w:val="bullet"/>
      <w:lvlText w:val="▪"/>
      <w:lvlJc w:val="left"/>
      <w:pPr>
        <w:ind w:left="21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70CA834E">
      <w:start w:val="1"/>
      <w:numFmt w:val="bullet"/>
      <w:lvlText w:val="•"/>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DB42FC9C">
      <w:start w:val="1"/>
      <w:numFmt w:val="bullet"/>
      <w:lvlText w:val="o"/>
      <w:lvlJc w:val="left"/>
      <w:pPr>
        <w:ind w:left="360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8CB6AF86">
      <w:start w:val="1"/>
      <w:numFmt w:val="bullet"/>
      <w:lvlText w:val="▪"/>
      <w:lvlJc w:val="left"/>
      <w:pPr>
        <w:ind w:left="432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23083796">
      <w:start w:val="1"/>
      <w:numFmt w:val="bullet"/>
      <w:lvlText w:val="•"/>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E3F83A38">
      <w:start w:val="1"/>
      <w:numFmt w:val="bullet"/>
      <w:lvlText w:val="o"/>
      <w:lvlJc w:val="left"/>
      <w:pPr>
        <w:ind w:left="57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BDF02164">
      <w:start w:val="1"/>
      <w:numFmt w:val="bullet"/>
      <w:lvlText w:val="▪"/>
      <w:lvlJc w:val="left"/>
      <w:pPr>
        <w:ind w:left="648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1" w15:restartNumberingAfterBreak="0">
    <w:nsid w:val="7BFB633B"/>
    <w:multiLevelType w:val="hybridMultilevel"/>
    <w:tmpl w:val="206EA482"/>
    <w:lvl w:ilvl="0" w:tplc="89B45F98">
      <w:start w:val="1"/>
      <w:numFmt w:val="decimal"/>
      <w:lvlText w:val="%1."/>
      <w:lvlJc w:val="left"/>
      <w:pPr>
        <w:ind w:left="664" w:hanging="360"/>
      </w:pPr>
    </w:lvl>
    <w:lvl w:ilvl="1" w:tplc="B386B4D4">
      <w:start w:val="1"/>
      <w:numFmt w:val="lowerLetter"/>
      <w:lvlText w:val="%2."/>
      <w:lvlJc w:val="left"/>
      <w:pPr>
        <w:ind w:left="1384" w:hanging="360"/>
      </w:pPr>
    </w:lvl>
    <w:lvl w:ilvl="2" w:tplc="C5A27870">
      <w:start w:val="1"/>
      <w:numFmt w:val="lowerRoman"/>
      <w:lvlText w:val="%3."/>
      <w:lvlJc w:val="right"/>
      <w:pPr>
        <w:ind w:left="2104" w:hanging="180"/>
      </w:pPr>
    </w:lvl>
    <w:lvl w:ilvl="3" w:tplc="C36C9F7E">
      <w:start w:val="1"/>
      <w:numFmt w:val="decimal"/>
      <w:lvlText w:val="%4."/>
      <w:lvlJc w:val="left"/>
      <w:pPr>
        <w:ind w:left="2824" w:hanging="360"/>
      </w:pPr>
    </w:lvl>
    <w:lvl w:ilvl="4" w:tplc="45F8A0D8">
      <w:start w:val="1"/>
      <w:numFmt w:val="lowerLetter"/>
      <w:lvlText w:val="%5."/>
      <w:lvlJc w:val="left"/>
      <w:pPr>
        <w:ind w:left="3544" w:hanging="360"/>
      </w:pPr>
    </w:lvl>
    <w:lvl w:ilvl="5" w:tplc="FF24B824">
      <w:start w:val="1"/>
      <w:numFmt w:val="lowerRoman"/>
      <w:lvlText w:val="%6."/>
      <w:lvlJc w:val="right"/>
      <w:pPr>
        <w:ind w:left="4264" w:hanging="180"/>
      </w:pPr>
    </w:lvl>
    <w:lvl w:ilvl="6" w:tplc="DC32EC0A">
      <w:start w:val="1"/>
      <w:numFmt w:val="decimal"/>
      <w:lvlText w:val="%7."/>
      <w:lvlJc w:val="left"/>
      <w:pPr>
        <w:ind w:left="4984" w:hanging="360"/>
      </w:pPr>
    </w:lvl>
    <w:lvl w:ilvl="7" w:tplc="FE0E00CC">
      <w:start w:val="1"/>
      <w:numFmt w:val="lowerLetter"/>
      <w:lvlText w:val="%8."/>
      <w:lvlJc w:val="left"/>
      <w:pPr>
        <w:ind w:left="5704" w:hanging="360"/>
      </w:pPr>
    </w:lvl>
    <w:lvl w:ilvl="8" w:tplc="CF269576">
      <w:start w:val="1"/>
      <w:numFmt w:val="lowerRoman"/>
      <w:lvlText w:val="%9."/>
      <w:lvlJc w:val="right"/>
      <w:pPr>
        <w:ind w:left="6424" w:hanging="180"/>
      </w:pPr>
    </w:lvl>
  </w:abstractNum>
  <w:num w:numId="1" w16cid:durableId="1357150061">
    <w:abstractNumId w:val="3"/>
  </w:num>
  <w:num w:numId="2" w16cid:durableId="1732923029">
    <w:abstractNumId w:val="5"/>
  </w:num>
  <w:num w:numId="3" w16cid:durableId="951589889">
    <w:abstractNumId w:val="7"/>
  </w:num>
  <w:num w:numId="4" w16cid:durableId="1755320347">
    <w:abstractNumId w:val="6"/>
  </w:num>
  <w:num w:numId="5" w16cid:durableId="753745225">
    <w:abstractNumId w:val="2"/>
  </w:num>
  <w:num w:numId="6" w16cid:durableId="347292828">
    <w:abstractNumId w:val="11"/>
  </w:num>
  <w:num w:numId="7" w16cid:durableId="1837957671">
    <w:abstractNumId w:val="1"/>
  </w:num>
  <w:num w:numId="8" w16cid:durableId="1009143401">
    <w:abstractNumId w:val="4"/>
  </w:num>
  <w:num w:numId="9" w16cid:durableId="706179169">
    <w:abstractNumId w:val="0"/>
  </w:num>
  <w:num w:numId="10" w16cid:durableId="363364102">
    <w:abstractNumId w:val="9"/>
  </w:num>
  <w:num w:numId="11" w16cid:durableId="524562370">
    <w:abstractNumId w:val="10"/>
  </w:num>
  <w:num w:numId="12" w16cid:durableId="4210106">
    <w:abstractNumId w:val="8"/>
  </w:num>
</w:numbering>
</file>

<file path=word/people.xml><?xml version="1.0" encoding="utf-8"?>
<w15:people xmlns:mc="http://schemas.openxmlformats.org/markup-compatibility/2006" xmlns:w15="http://schemas.microsoft.com/office/word/2012/wordml" mc:Ignorable="w15">
  <w15:person w15:author="Joana Geisler">
    <w15:presenceInfo w15:providerId="AD" w15:userId="S::Joana.Geisler@ifow.org::455e7ab3-12cb-42c4-9653-10dcef0b16dc"/>
  </w15:person>
  <w15:person w15:author="Julian Kulikowski">
    <w15:presenceInfo w15:providerId="AD" w15:userId="S::julian.kulikowski@ifow.org::f7a3f87b-579c-4373-9f73-9e5d52fa330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9"/>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4AB"/>
    <w:rsid w:val="00042153"/>
    <w:rsid w:val="0008F0B6"/>
    <w:rsid w:val="00093A3E"/>
    <w:rsid w:val="00166861"/>
    <w:rsid w:val="00297B04"/>
    <w:rsid w:val="002A18E7"/>
    <w:rsid w:val="00305DCC"/>
    <w:rsid w:val="00462B50"/>
    <w:rsid w:val="005054AB"/>
    <w:rsid w:val="005C7D54"/>
    <w:rsid w:val="0082526F"/>
    <w:rsid w:val="009C079E"/>
    <w:rsid w:val="00A50ED3"/>
    <w:rsid w:val="00A76FC9"/>
    <w:rsid w:val="00BA6E80"/>
    <w:rsid w:val="00C04D6A"/>
    <w:rsid w:val="00C609EB"/>
    <w:rsid w:val="00CA00A8"/>
    <w:rsid w:val="00CF72DE"/>
    <w:rsid w:val="00D060ED"/>
    <w:rsid w:val="00DA563C"/>
    <w:rsid w:val="00DD3911"/>
    <w:rsid w:val="00E11110"/>
    <w:rsid w:val="00E747E5"/>
    <w:rsid w:val="00E901A9"/>
    <w:rsid w:val="03B31F32"/>
    <w:rsid w:val="05F731B3"/>
    <w:rsid w:val="07B2E411"/>
    <w:rsid w:val="08A52EC9"/>
    <w:rsid w:val="0C5A6FAC"/>
    <w:rsid w:val="0CADF3C8"/>
    <w:rsid w:val="0E567964"/>
    <w:rsid w:val="0F53C625"/>
    <w:rsid w:val="105958A3"/>
    <w:rsid w:val="12999B6C"/>
    <w:rsid w:val="12B3BF36"/>
    <w:rsid w:val="13609596"/>
    <w:rsid w:val="137E99B6"/>
    <w:rsid w:val="145A5FAA"/>
    <w:rsid w:val="14FE443C"/>
    <w:rsid w:val="16257213"/>
    <w:rsid w:val="16A22E9D"/>
    <w:rsid w:val="17A5115D"/>
    <w:rsid w:val="17C0F4B6"/>
    <w:rsid w:val="17DDAD60"/>
    <w:rsid w:val="1A8F8ECB"/>
    <w:rsid w:val="1A970887"/>
    <w:rsid w:val="1D479470"/>
    <w:rsid w:val="1DFFA55C"/>
    <w:rsid w:val="1E5D77B2"/>
    <w:rsid w:val="1EBC3F4A"/>
    <w:rsid w:val="2040A729"/>
    <w:rsid w:val="21241933"/>
    <w:rsid w:val="2387B79B"/>
    <w:rsid w:val="23C5B174"/>
    <w:rsid w:val="242AD494"/>
    <w:rsid w:val="249E9CC6"/>
    <w:rsid w:val="24A7FCFF"/>
    <w:rsid w:val="2BF9E246"/>
    <w:rsid w:val="2D32944E"/>
    <w:rsid w:val="2D4199E6"/>
    <w:rsid w:val="2D52AA8B"/>
    <w:rsid w:val="2DA87BEC"/>
    <w:rsid w:val="2E43FEEC"/>
    <w:rsid w:val="319C1076"/>
    <w:rsid w:val="32E4FE72"/>
    <w:rsid w:val="34355823"/>
    <w:rsid w:val="34B03EE2"/>
    <w:rsid w:val="3585970A"/>
    <w:rsid w:val="3748B268"/>
    <w:rsid w:val="380D8DEC"/>
    <w:rsid w:val="3867FBC9"/>
    <w:rsid w:val="386BAA19"/>
    <w:rsid w:val="3A1B652A"/>
    <w:rsid w:val="3AEB0CD7"/>
    <w:rsid w:val="3C29B3E0"/>
    <w:rsid w:val="3C8DC756"/>
    <w:rsid w:val="3CFDF7ED"/>
    <w:rsid w:val="3DEB6E1C"/>
    <w:rsid w:val="3F0CEAA4"/>
    <w:rsid w:val="41BA8985"/>
    <w:rsid w:val="4278389D"/>
    <w:rsid w:val="429B1F61"/>
    <w:rsid w:val="4664AEA5"/>
    <w:rsid w:val="46BFCDDD"/>
    <w:rsid w:val="49996D94"/>
    <w:rsid w:val="4AE1BE3A"/>
    <w:rsid w:val="4B67E4E6"/>
    <w:rsid w:val="4C0DE52B"/>
    <w:rsid w:val="4C75D4F0"/>
    <w:rsid w:val="4CD7348F"/>
    <w:rsid w:val="4D714A07"/>
    <w:rsid w:val="4F47634C"/>
    <w:rsid w:val="4FE9A78A"/>
    <w:rsid w:val="5000D11D"/>
    <w:rsid w:val="5330DF03"/>
    <w:rsid w:val="53B533D7"/>
    <w:rsid w:val="54351C63"/>
    <w:rsid w:val="5437E5F1"/>
    <w:rsid w:val="54EEFE39"/>
    <w:rsid w:val="560D87EC"/>
    <w:rsid w:val="56D073EC"/>
    <w:rsid w:val="582B8F32"/>
    <w:rsid w:val="58A6FBCB"/>
    <w:rsid w:val="5A326FB0"/>
    <w:rsid w:val="5AB01857"/>
    <w:rsid w:val="5AFDEFAB"/>
    <w:rsid w:val="5BC8CB9F"/>
    <w:rsid w:val="5C75661E"/>
    <w:rsid w:val="5CD4223D"/>
    <w:rsid w:val="5DEE64E8"/>
    <w:rsid w:val="60A588FA"/>
    <w:rsid w:val="627337F3"/>
    <w:rsid w:val="6392CE56"/>
    <w:rsid w:val="63E5A364"/>
    <w:rsid w:val="63E84E2A"/>
    <w:rsid w:val="655E1C96"/>
    <w:rsid w:val="65E4A6C9"/>
    <w:rsid w:val="67E0D113"/>
    <w:rsid w:val="6B16BACF"/>
    <w:rsid w:val="6B296521"/>
    <w:rsid w:val="6BC0D104"/>
    <w:rsid w:val="6CD0B579"/>
    <w:rsid w:val="6E590084"/>
    <w:rsid w:val="6F7A2BDA"/>
    <w:rsid w:val="703E5985"/>
    <w:rsid w:val="74083A25"/>
    <w:rsid w:val="74C7E1F7"/>
    <w:rsid w:val="751A882A"/>
    <w:rsid w:val="76259E33"/>
    <w:rsid w:val="772CA572"/>
    <w:rsid w:val="776C5350"/>
    <w:rsid w:val="79D04C48"/>
    <w:rsid w:val="7A92BC4D"/>
    <w:rsid w:val="7AB9B283"/>
    <w:rsid w:val="7BFA99FD"/>
    <w:rsid w:val="7C4BB8EB"/>
    <w:rsid w:val="7C9CA981"/>
    <w:rsid w:val="7D150793"/>
    <w:rsid w:val="7D5E4B50"/>
    <w:rsid w:val="7D9BA995"/>
    <w:rsid w:val="7DBDB9E1"/>
    <w:rsid w:val="7E86035F"/>
    <w:rsid w:val="7FD3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03BCEC"/>
  <w15:docId w15:val="{469EABDF-4272-544D-8177-BAD59C7168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10" w:line="297" w:lineRule="auto"/>
      <w:ind w:left="10" w:right="47" w:hanging="10"/>
    </w:pPr>
    <w:rPr>
      <w:rFonts w:ascii="Arial" w:hAnsi="Arial" w:eastAsia="Arial" w:cs="Times New Roman"/>
      <w:color w:val="000000"/>
      <w:lang w:val="en" w:eastAsia="en"/>
    </w:rPr>
  </w:style>
  <w:style w:type="paragraph" w:styleId="Heading1">
    <w:name w:val="heading 1"/>
    <w:next w:val="Normal"/>
    <w:link w:val="Heading1Char"/>
    <w:uiPriority w:val="9"/>
    <w:qFormat/>
    <w:pPr>
      <w:keepNext/>
      <w:keepLines/>
      <w:spacing w:after="0" w:line="269" w:lineRule="auto"/>
      <w:ind w:left="10" w:hanging="10"/>
      <w:outlineLvl w:val="0"/>
    </w:pPr>
    <w:rPr>
      <w:rFonts w:ascii="Arial" w:hAnsi="Arial" w:eastAsia="Arial" w:cs="Arial"/>
      <w:b/>
      <w:color w:val="D2002E"/>
      <w:sz w:val="36"/>
    </w:rPr>
  </w:style>
  <w:style w:type="paragraph" w:styleId="Heading2">
    <w:name w:val="heading 2"/>
    <w:next w:val="Normal"/>
    <w:link w:val="Heading2Char"/>
    <w:uiPriority w:val="9"/>
    <w:unhideWhenUsed/>
    <w:qFormat/>
    <w:pPr>
      <w:keepNext/>
      <w:keepLines/>
      <w:spacing w:after="157" w:line="259" w:lineRule="auto"/>
      <w:ind w:left="10" w:hanging="10"/>
      <w:outlineLvl w:val="1"/>
    </w:pPr>
    <w:rPr>
      <w:rFonts w:ascii="Arial" w:hAnsi="Arial" w:eastAsia="Arial" w:cs="Arial"/>
      <w:b/>
      <w:i/>
      <w:color w:val="9D00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Arial" w:hAnsi="Arial" w:eastAsia="Arial" w:cs="Arial"/>
      <w:b/>
      <w:color w:val="D2002E"/>
      <w:sz w:val="36"/>
    </w:rPr>
  </w:style>
  <w:style w:type="character" w:styleId="Heading2Char" w:customStyle="1">
    <w:name w:val="Heading 2 Char"/>
    <w:link w:val="Heading2"/>
    <w:rPr>
      <w:rFonts w:ascii="Arial" w:hAnsi="Arial" w:eastAsia="Arial" w:cs="Arial"/>
      <w:b/>
      <w:i/>
      <w:color w:val="9D0021"/>
      <w:sz w:val="24"/>
    </w:rPr>
  </w:style>
  <w:style w:type="paragraph" w:styleId="Header">
    <w:name w:val="header"/>
    <w:basedOn w:val="Normal"/>
    <w:link w:val="HeaderChar"/>
    <w:uiPriority w:val="99"/>
    <w:unhideWhenUsed/>
    <w:rsid w:val="00CA00A8"/>
    <w:pPr>
      <w:tabs>
        <w:tab w:val="center" w:pos="4680"/>
        <w:tab w:val="right" w:pos="9360"/>
      </w:tabs>
      <w:spacing w:after="0" w:line="240" w:lineRule="auto"/>
    </w:pPr>
  </w:style>
  <w:style w:type="character" w:styleId="HeaderChar" w:customStyle="1">
    <w:name w:val="Header Char"/>
    <w:basedOn w:val="DefaultParagraphFont"/>
    <w:link w:val="Header"/>
    <w:uiPriority w:val="99"/>
    <w:rsid w:val="00CA00A8"/>
    <w:rPr>
      <w:rFonts w:ascii="Arial" w:hAnsi="Arial" w:eastAsia="Arial" w:cs="Times New Roman"/>
      <w:color w:val="000000"/>
      <w:lang w:val="en" w:eastAsia="en"/>
    </w:rPr>
  </w:style>
  <w:style w:type="character" w:styleId="Hyperlink">
    <w:name w:val="Hyperlink"/>
    <w:basedOn w:val="DefaultParagraphFont"/>
    <w:uiPriority w:val="99"/>
    <w:unhideWhenUsed/>
    <w:rsid w:val="00C04D6A"/>
    <w:rPr>
      <w:color w:val="467886" w:themeColor="hyperlink"/>
      <w:u w:val="single"/>
    </w:rPr>
  </w:style>
  <w:style w:type="character" w:styleId="UnresolvedMention">
    <w:name w:val="Unresolved Mention"/>
    <w:basedOn w:val="DefaultParagraphFont"/>
    <w:uiPriority w:val="99"/>
    <w:semiHidden/>
    <w:unhideWhenUsed/>
    <w:rsid w:val="00C04D6A"/>
    <w:rPr>
      <w:color w:val="605E5C"/>
      <w:shd w:val="clear" w:color="auto" w:fill="E1DFDD"/>
    </w:rPr>
  </w:style>
  <w:style w:type="paragraph" w:styleId="ListParagraph">
    <w:name w:val="List Paragraph"/>
    <w:basedOn w:val="Normal"/>
    <w:uiPriority w:val="34"/>
    <w:qFormat/>
    <w:rsid w:val="1A970887"/>
    <w:pPr>
      <w:ind w:left="720"/>
      <w:contextualSpacing/>
    </w:pPr>
  </w:style>
  <w:style w:type="paragraph" w:styleId="TOC2">
    <w:name w:val="toc 2"/>
    <w:basedOn w:val="Normal"/>
    <w:next w:val="Normal"/>
    <w:uiPriority w:val="39"/>
    <w:unhideWhenUsed/>
    <w:rsid w:val="1A970887"/>
    <w:pPr>
      <w:spacing w:after="100"/>
      <w:ind w:left="220"/>
    </w:pPr>
  </w:style>
  <w:style w:type="paragraph" w:styleId="TOC1">
    <w:name w:val="toc 1"/>
    <w:basedOn w:val="Normal"/>
    <w:next w:val="Normal"/>
    <w:uiPriority w:val="39"/>
    <w:unhideWhenUsed/>
    <w:rsid w:val="1A970887"/>
    <w:pPr>
      <w:spacing w:after="100"/>
    </w:pPr>
  </w:style>
  <w:style w:type="paragraph" w:styleId="Footer">
    <w:name w:val="footer"/>
    <w:basedOn w:val="Normal"/>
    <w:uiPriority w:val="99"/>
    <w:unhideWhenUsed/>
    <w:rsid w:val="1A970887"/>
    <w:pPr>
      <w:tabs>
        <w:tab w:val="center" w:pos="4680"/>
        <w:tab w:val="right" w:pos="9360"/>
      </w:tabs>
      <w:spacing w:after="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Arial" w:hAnsi="Arial" w:eastAsia="Arial" w:cs="Times New Roman"/>
      <w:color w:val="000000"/>
      <w:sz w:val="20"/>
      <w:szCs w:val="20"/>
      <w:lang w:val="en" w:eastAsia="en"/>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297B04"/>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5C7D54"/>
    <w:rPr>
      <w:b/>
      <w:bCs/>
    </w:rPr>
  </w:style>
  <w:style w:type="character" w:styleId="CommentSubjectChar" w:customStyle="1">
    <w:name w:val="Comment Subject Char"/>
    <w:basedOn w:val="CommentTextChar"/>
    <w:link w:val="CommentSubject"/>
    <w:uiPriority w:val="99"/>
    <w:semiHidden/>
    <w:rsid w:val="005C7D54"/>
    <w:rPr>
      <w:rFonts w:ascii="Arial" w:hAnsi="Arial" w:eastAsia="Arial" w:cs="Times New Roman"/>
      <w:b/>
      <w:bCs/>
      <w:color w:val="000000"/>
      <w:sz w:val="20"/>
      <w:szCs w:val="20"/>
      <w:lang w:val="en" w:eastAsi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stitutefow.sharepoint.com/sites/Ethics/_layouts/15/doc.aspx?sourcedoc=%7b9f1613ec-2e4c-453d-a8b9-e633d0a6d6de%7d&amp;action=edit" TargetMode="External"/><Relationship Id="rId18" Type="http://schemas.openxmlformats.org/officeDocument/2006/relationships/hyperlink" Target="https://www.reading.ac.uk/imps/data-protection/data-protection-and-research"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hyperlink" Target="mailto:oliver.nash@ifow" TargetMode="External"/><Relationship Id="rId17" Type="http://schemas.openxmlformats.org/officeDocument/2006/relationships/hyperlink" Target="https://www.reading.ac.uk/imps/data-protection/data-protection-and-research"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ading.ac.uk/imps/data-protection/data-protection-and-research" TargetMode="External"/><Relationship Id="rId20" Type="http://schemas.openxmlformats.org/officeDocument/2006/relationships/hyperlink" Target="https://reshare.ukdataservice.ac.uk/information.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ading.ac.uk/research-services/research-data-management/data-management-planning/research-ethics-and-data-protection"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www.reading.ac.uk/imps/data-protection/data-protection-and-research" TargetMode="External"/><Relationship Id="rId23" Type="http://schemas.microsoft.com/office/2016/09/relationships/commentsIds" Target="commentsIds.xml"/><Relationship Id="rId28" Type="http://schemas.openxmlformats.org/officeDocument/2006/relationships/footer" Target="footer3.xml"/><Relationship Id="rId10" Type="http://schemas.openxmlformats.org/officeDocument/2006/relationships/hyperlink" Target="https://institutefow.sharepoint.com/:w:/r/sites/Ethics/_layouts/15/Doc.aspx?sourcedoc=%7BC2044740-5985-47A0-9D42-F0613D01E403%7D&amp;file=IFOW-Data%20Management%20Plan%20(DMP).docx&amp;action=default&amp;mobileredirect=true" TargetMode="External"/><Relationship Id="rId19" Type="http://schemas.openxmlformats.org/officeDocument/2006/relationships/hyperlink" Target="https://www.reading.ac.uk/imps/data-protection/data-protection-and-research"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ading.ac.uk/imps/data-protection/data-protection-and-research" TargetMode="External"/><Relationship Id="rId22" Type="http://schemas.microsoft.com/office/2011/relationships/commentsExtended" Target="commentsExtended.xml"/><Relationship Id="rId27" Type="http://schemas.openxmlformats.org/officeDocument/2006/relationships/footer" Target="footer2.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d90fd368e8deb3c57afef4230b2e984d">
  <xsd:schema xmlns:xsd="http://www.w3.org/2001/XMLSchema" xmlns:xs="http://www.w3.org/2001/XMLSchema" xmlns:p="http://schemas.microsoft.com/office/2006/metadata/properties" xmlns:ns2="45ad2d90-4a0e-4cdc-b4d7-82fd3d42adee" targetNamespace="http://schemas.microsoft.com/office/2006/metadata/properties" ma:root="true" ma:fieldsID="50f09aa6fcb32ca5e97486abfbb5cf0d"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1ED30-8900-4E2E-BED3-C846ECA85A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E954DC-2F73-4B28-B371-D23A556541B9}">
  <ds:schemaRefs>
    <ds:schemaRef ds:uri="http://schemas.microsoft.com/sharepoint/v3/contenttype/forms"/>
  </ds:schemaRefs>
</ds:datastoreItem>
</file>

<file path=customXml/itemProps3.xml><?xml version="1.0" encoding="utf-8"?>
<ds:datastoreItem xmlns:ds="http://schemas.openxmlformats.org/officeDocument/2006/customXml" ds:itemID="{31EE8C6F-FCF5-4D2F-829D-2A299B92EF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DMP Guidance</dc:title>
  <dc:subject/>
  <dc:creator>r.m.darby@reading.ac.uk;r.a.daniells@reading.ac.uk</dc:creator>
  <cp:keywords/>
  <cp:lastModifiedBy>Lola Brittain</cp:lastModifiedBy>
  <cp:revision>24</cp:revision>
  <dcterms:created xsi:type="dcterms:W3CDTF">2025-07-24T17:35:00Z</dcterms:created>
  <dcterms:modified xsi:type="dcterms:W3CDTF">2026-05-12T15:17:03Z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0x0101000EF1B63F298BE746A7A171BAFAA5ACD4</vt:lpwstr>
  </property>
</Properties>
</file>